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5AF" w:rsidRDefault="00CF55AF" w:rsidP="00CF55AF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CF55AF" w:rsidRDefault="00CF55AF" w:rsidP="00CF55AF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CF55AF" w:rsidRDefault="00CF55AF" w:rsidP="00CF55AF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55191F" w:rsidRDefault="0055191F">
      <w:pPr>
        <w:spacing w:line="240" w:lineRule="auto"/>
        <w:jc w:val="left"/>
        <w:rPr>
          <w:bCs/>
          <w:szCs w:val="28"/>
        </w:rPr>
      </w:pPr>
    </w:p>
    <w:p w:rsidR="0055191F" w:rsidRDefault="002B228D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55191F" w:rsidRDefault="002B228D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09191C" w:rsidRDefault="002B228D">
      <w:pPr>
        <w:ind w:firstLine="0"/>
        <w:jc w:val="center"/>
        <w:rPr>
          <w:szCs w:val="28"/>
        </w:rPr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szCs w:val="28"/>
        </w:rPr>
        <w:t xml:space="preserve">відділу  перерахунків пенсій № 1 управління пенсійного забезпечення, надання страхових виплат, соціальних послуг, житлових субсидій та пільг – </w:t>
      </w:r>
      <w:r w:rsidR="0009191C">
        <w:rPr>
          <w:szCs w:val="28"/>
        </w:rPr>
        <w:t>9 посад</w:t>
      </w:r>
    </w:p>
    <w:p w:rsidR="0055191F" w:rsidRDefault="002B228D">
      <w:pPr>
        <w:ind w:firstLine="0"/>
        <w:jc w:val="center"/>
      </w:pPr>
      <w:r>
        <w:t xml:space="preserve"> </w:t>
      </w:r>
      <w:r>
        <w:rPr>
          <w:szCs w:val="28"/>
        </w:rPr>
        <w:t>(</w:t>
      </w:r>
      <w:r>
        <w:rPr>
          <w:color w:val="000000"/>
          <w:szCs w:val="28"/>
        </w:rPr>
        <w:t>м. Київ, вул. Керченська 5 А</w:t>
      </w:r>
      <w:r>
        <w:t>)</w:t>
      </w:r>
    </w:p>
    <w:p w:rsidR="0055191F" w:rsidRDefault="0055191F">
      <w:pPr>
        <w:ind w:firstLine="0"/>
        <w:jc w:val="center"/>
        <w:rPr>
          <w:bCs/>
          <w:szCs w:val="28"/>
        </w:rPr>
      </w:pPr>
    </w:p>
    <w:tbl>
      <w:tblPr>
        <w:tblStyle w:val="afb"/>
        <w:tblW w:w="9497" w:type="dxa"/>
        <w:tblInd w:w="137" w:type="dxa"/>
        <w:tblLayout w:type="fixed"/>
        <w:tblLook w:val="04A0"/>
      </w:tblPr>
      <w:tblGrid>
        <w:gridCol w:w="540"/>
        <w:gridCol w:w="2971"/>
        <w:gridCol w:w="33"/>
        <w:gridCol w:w="5953"/>
      </w:tblGrid>
      <w:tr w:rsidR="0055191F">
        <w:tc>
          <w:tcPr>
            <w:tcW w:w="9497" w:type="dxa"/>
            <w:gridSpan w:val="4"/>
          </w:tcPr>
          <w:p w:rsidR="0055191F" w:rsidRDefault="002B228D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55191F">
        <w:tc>
          <w:tcPr>
            <w:tcW w:w="3511" w:type="dxa"/>
            <w:gridSpan w:val="2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86" w:type="dxa"/>
            <w:gridSpan w:val="2"/>
          </w:tcPr>
          <w:p w:rsidR="0055191F" w:rsidRDefault="002B228D">
            <w:pPr>
              <w:ind w:firstLine="0"/>
              <w:rPr>
                <w:szCs w:val="28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rPr>
                <w:color w:val="000000"/>
                <w:szCs w:val="28"/>
              </w:rPr>
              <w:t xml:space="preserve">1. </w:t>
            </w:r>
            <w:r>
              <w:rPr>
                <w:szCs w:val="28"/>
              </w:rPr>
              <w:t>Опрацювання документів на перерахунок пенсій відповідно до статті 42 Закону України "Про загальнообов’язкове державне пенсійне страхування";</w:t>
            </w:r>
          </w:p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 Здійснення опрацювання документів про працевлаштування (звільнення);</w:t>
            </w:r>
          </w:p>
          <w:p w:rsidR="0055191F" w:rsidRDefault="002B228D">
            <w:pPr>
              <w:ind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>3. Здійснення опрацювання документів про продовження виплати пенсії у разі втрати годувальника та по інвалідності</w:t>
            </w:r>
            <w:r>
              <w:rPr>
                <w:color w:val="000000"/>
                <w:szCs w:val="28"/>
              </w:rPr>
              <w:t>;</w:t>
            </w:r>
          </w:p>
          <w:p w:rsidR="0055191F" w:rsidRDefault="002B228D">
            <w:pPr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4.</w:t>
            </w:r>
            <w:r>
              <w:rPr>
                <w:szCs w:val="28"/>
              </w:rPr>
              <w:t xml:space="preserve"> Здійснення опрацювання документів про переведення виплати пенсії за новим місцем проживання (перебування)</w:t>
            </w:r>
            <w:r>
              <w:rPr>
                <w:color w:val="000000"/>
                <w:szCs w:val="28"/>
              </w:rPr>
              <w:t>.</w:t>
            </w:r>
          </w:p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5.</w:t>
            </w:r>
            <w:r>
              <w:rPr>
                <w:szCs w:val="28"/>
              </w:rPr>
              <w:t xml:space="preserve"> Здійснення щомісячного моніторингу працюючих пенсіонерів;</w:t>
            </w:r>
          </w:p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6. Здійснення відпрацювання судових рішень щодо пенсійного забезпечення;</w:t>
            </w:r>
          </w:p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7. Здійснення відпрацювання кандидатів на індивідуально-масовий перерахунок;</w:t>
            </w:r>
          </w:p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8. Здійснення опрацювання пенсійних справ з урахуванням періодів перебування на канікулах осіб, які перебувають в будинках-інтернатах;</w:t>
            </w:r>
          </w:p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9. Здійснення перевірки співставлення діючих складових пенсійної виплати з документами та атрибутами </w:t>
            </w:r>
            <w:proofErr w:type="spellStart"/>
            <w:r>
              <w:rPr>
                <w:szCs w:val="28"/>
              </w:rPr>
              <w:t>оцифрованої</w:t>
            </w:r>
            <w:proofErr w:type="spellEnd"/>
            <w:r>
              <w:rPr>
                <w:szCs w:val="28"/>
              </w:rPr>
              <w:t xml:space="preserve"> пенсійної справи в архіві (четвертий етап </w:t>
            </w:r>
            <w:proofErr w:type="spellStart"/>
            <w:r>
              <w:rPr>
                <w:szCs w:val="28"/>
              </w:rPr>
              <w:t>ретроконверсії</w:t>
            </w:r>
            <w:proofErr w:type="spellEnd"/>
            <w:r>
              <w:rPr>
                <w:szCs w:val="28"/>
              </w:rPr>
              <w:t>);</w:t>
            </w:r>
          </w:p>
          <w:p w:rsidR="0055191F" w:rsidRDefault="002B228D">
            <w:pPr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10. Здійснення формування звітів контролю розпоряджень (складові розпорядження та </w:t>
            </w:r>
            <w:r>
              <w:rPr>
                <w:szCs w:val="28"/>
              </w:rPr>
              <w:lastRenderedPageBreak/>
              <w:t>стажі) та опрацьовують справи, наявні в звітах.</w:t>
            </w:r>
          </w:p>
        </w:tc>
      </w:tr>
      <w:tr w:rsidR="0055191F">
        <w:tc>
          <w:tcPr>
            <w:tcW w:w="3511" w:type="dxa"/>
            <w:gridSpan w:val="2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86" w:type="dxa"/>
            <w:gridSpan w:val="2"/>
            <w:vAlign w:val="center"/>
          </w:tcPr>
          <w:p w:rsidR="0055191F" w:rsidRDefault="002B228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посадовий оклад – 1</w:t>
            </w:r>
            <w:r w:rsidR="00C43A2A">
              <w:rPr>
                <w:bCs/>
                <w:szCs w:val="28"/>
              </w:rPr>
              <w:t>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55191F" w:rsidRDefault="002B228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55191F" w:rsidRDefault="002B228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55191F" w:rsidRDefault="002B228D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55191F" w:rsidRDefault="0055191F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55191F">
        <w:trPr>
          <w:trHeight w:val="915"/>
        </w:trPr>
        <w:tc>
          <w:tcPr>
            <w:tcW w:w="3511" w:type="dxa"/>
            <w:gridSpan w:val="2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986" w:type="dxa"/>
            <w:gridSpan w:val="2"/>
          </w:tcPr>
          <w:p w:rsidR="0055191F" w:rsidRDefault="002B228D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55191F" w:rsidRDefault="002B228D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55191F" w:rsidRDefault="002B228D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55191F" w:rsidRDefault="0055191F">
            <w:pPr>
              <w:pStyle w:val="af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55191F">
        <w:trPr>
          <w:trHeight w:val="165"/>
        </w:trPr>
        <w:tc>
          <w:tcPr>
            <w:tcW w:w="3511" w:type="dxa"/>
            <w:gridSpan w:val="2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</w:t>
            </w:r>
          </w:p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необхідної для участі в</w:t>
            </w:r>
          </w:p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конкурсі, та строк її подання</w:t>
            </w:r>
          </w:p>
        </w:tc>
        <w:tc>
          <w:tcPr>
            <w:tcW w:w="5986" w:type="dxa"/>
            <w:gridSpan w:val="2"/>
          </w:tcPr>
          <w:p w:rsidR="003A0EA6" w:rsidRDefault="003A0EA6" w:rsidP="003A0EA6">
            <w:pPr>
              <w:pStyle w:val="af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</w:t>
            </w:r>
            <w:r w:rsidR="00C43A2A">
              <w:t xml:space="preserve"> у визначений термін </w:t>
            </w:r>
            <w:r w:rsidR="00C02D3D">
              <w:t xml:space="preserve"> </w:t>
            </w:r>
            <w:r>
              <w:t xml:space="preserve">до 15:00  </w:t>
            </w:r>
            <w:bookmarkStart w:id="3" w:name="_GoBack"/>
            <w:bookmarkEnd w:id="3"/>
            <w:r>
              <w:t xml:space="preserve">2024 року на електронну адресу </w:t>
            </w:r>
            <w:hyperlink r:id="rId8" w:history="1">
              <w:r>
                <w:rPr>
                  <w:rStyle w:val="aa"/>
                  <w:lang w:val="en-US"/>
                </w:rPr>
                <w:t>konkurs</w:t>
              </w:r>
              <w:r>
                <w:rPr>
                  <w:rStyle w:val="aa"/>
                </w:rPr>
                <w:t>@</w:t>
              </w:r>
              <w:r>
                <w:rPr>
                  <w:rStyle w:val="aa"/>
                  <w:lang w:val="en-US"/>
                </w:rPr>
                <w:t>kv</w:t>
              </w:r>
              <w:r>
                <w:rPr>
                  <w:rStyle w:val="aa"/>
                </w:rPr>
                <w:t>.</w:t>
              </w:r>
              <w:r>
                <w:rPr>
                  <w:rStyle w:val="aa"/>
                  <w:lang w:val="en-US"/>
                </w:rPr>
                <w:t>pfu</w:t>
              </w:r>
              <w:r>
                <w:rPr>
                  <w:rStyle w:val="aa"/>
                </w:rPr>
                <w:t>.</w:t>
              </w:r>
              <w:r>
                <w:rPr>
                  <w:rStyle w:val="aa"/>
                  <w:lang w:val="en-US"/>
                </w:rPr>
                <w:t>gov</w:t>
              </w:r>
              <w:r>
                <w:rPr>
                  <w:rStyle w:val="aa"/>
                </w:rPr>
                <w:t>.</w:t>
              </w:r>
              <w:r>
                <w:rPr>
                  <w:rStyle w:val="aa"/>
                  <w:lang w:val="en-US"/>
                </w:rPr>
                <w:t>ua</w:t>
              </w:r>
            </w:hyperlink>
          </w:p>
          <w:p w:rsidR="0055191F" w:rsidRDefault="0055191F">
            <w:pPr>
              <w:pStyle w:val="af"/>
              <w:spacing w:before="0" w:line="240" w:lineRule="auto"/>
              <w:ind w:firstLine="0"/>
            </w:pPr>
          </w:p>
          <w:p w:rsidR="0055191F" w:rsidRDefault="0055191F">
            <w:pPr>
              <w:pStyle w:val="af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55191F" w:rsidRDefault="002B228D" w:rsidP="00C02D3D">
            <w:pPr>
              <w:pStyle w:val="a6"/>
              <w:spacing w:before="88"/>
              <w:jc w:val="left"/>
              <w:rPr>
                <w:spacing w:val="-1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55191F">
        <w:tc>
          <w:tcPr>
            <w:tcW w:w="9497" w:type="dxa"/>
            <w:gridSpan w:val="4"/>
          </w:tcPr>
          <w:p w:rsidR="0055191F" w:rsidRDefault="002B228D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55191F">
        <w:tc>
          <w:tcPr>
            <w:tcW w:w="540" w:type="dxa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3" w:type="dxa"/>
            <w:vAlign w:val="center"/>
          </w:tcPr>
          <w:p w:rsidR="0055191F" w:rsidRDefault="002B228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55191F">
        <w:tc>
          <w:tcPr>
            <w:tcW w:w="540" w:type="dxa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4" w:type="dxa"/>
            <w:gridSpan w:val="2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3" w:type="dxa"/>
          </w:tcPr>
          <w:p w:rsidR="0055191F" w:rsidRDefault="002B228D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  <w:shd w:val="clear" w:color="auto" w:fill="FFFFFF"/>
              </w:rPr>
              <w:t>не потребує</w:t>
            </w:r>
          </w:p>
        </w:tc>
      </w:tr>
      <w:tr w:rsidR="0055191F">
        <w:trPr>
          <w:trHeight w:val="495"/>
        </w:trPr>
        <w:tc>
          <w:tcPr>
            <w:tcW w:w="540" w:type="dxa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4" w:type="dxa"/>
            <w:gridSpan w:val="2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3" w:type="dxa"/>
          </w:tcPr>
          <w:p w:rsidR="0055191F" w:rsidRDefault="002B228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55191F">
        <w:trPr>
          <w:trHeight w:val="239"/>
        </w:trPr>
        <w:tc>
          <w:tcPr>
            <w:tcW w:w="540" w:type="dxa"/>
          </w:tcPr>
          <w:p w:rsidR="0055191F" w:rsidRDefault="0055191F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8957" w:type="dxa"/>
            <w:gridSpan w:val="3"/>
          </w:tcPr>
          <w:p w:rsidR="0055191F" w:rsidRDefault="002B228D">
            <w:pPr>
              <w:ind w:left="169"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55191F">
        <w:trPr>
          <w:trHeight w:val="360"/>
        </w:trPr>
        <w:tc>
          <w:tcPr>
            <w:tcW w:w="540" w:type="dxa"/>
          </w:tcPr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71" w:type="dxa"/>
          </w:tcPr>
          <w:p w:rsidR="0055191F" w:rsidRDefault="002B228D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86" w:type="dxa"/>
            <w:gridSpan w:val="2"/>
          </w:tcPr>
          <w:p w:rsidR="0055191F" w:rsidRDefault="002B228D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55191F" w:rsidRDefault="002B228D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- комплексний підхід до виконання завдань, виявлення ризиків;</w:t>
            </w:r>
          </w:p>
          <w:p w:rsidR="0055191F" w:rsidRDefault="002B228D">
            <w:pPr>
              <w:pStyle w:val="af8"/>
              <w:spacing w:line="240" w:lineRule="auto"/>
              <w:ind w:left="20" w:right="-80" w:hanging="142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55191F">
        <w:trPr>
          <w:trHeight w:val="234"/>
        </w:trPr>
        <w:tc>
          <w:tcPr>
            <w:tcW w:w="540" w:type="dxa"/>
          </w:tcPr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2.</w:t>
            </w:r>
          </w:p>
        </w:tc>
        <w:tc>
          <w:tcPr>
            <w:tcW w:w="2971" w:type="dxa"/>
          </w:tcPr>
          <w:p w:rsidR="0055191F" w:rsidRDefault="002B228D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86" w:type="dxa"/>
            <w:gridSpan w:val="2"/>
          </w:tcPr>
          <w:p w:rsidR="0055191F" w:rsidRDefault="002B228D">
            <w:pPr>
              <w:widowControl w:val="0"/>
              <w:numPr>
                <w:ilvl w:val="0"/>
                <w:numId w:val="1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55191F" w:rsidRDefault="002B228D">
            <w:pPr>
              <w:widowControl w:val="0"/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proofErr w:type="spellStart"/>
            <w:r>
              <w:rPr>
                <w:color w:val="000000"/>
                <w:szCs w:val="28"/>
              </w:rPr>
              <w:t>-усвідомлення</w:t>
            </w:r>
            <w:proofErr w:type="spellEnd"/>
            <w:r>
              <w:rPr>
                <w:color w:val="000000"/>
                <w:szCs w:val="28"/>
              </w:rPr>
              <w:t xml:space="preserve">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55191F" w:rsidRDefault="002B228D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ind w:left="36" w:hanging="36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55191F">
        <w:trPr>
          <w:trHeight w:val="198"/>
        </w:trPr>
        <w:tc>
          <w:tcPr>
            <w:tcW w:w="540" w:type="dxa"/>
          </w:tcPr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71" w:type="dxa"/>
          </w:tcPr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Уміння працювати в команді</w:t>
            </w:r>
          </w:p>
        </w:tc>
        <w:tc>
          <w:tcPr>
            <w:tcW w:w="5986" w:type="dxa"/>
            <w:gridSpan w:val="2"/>
          </w:tcPr>
          <w:p w:rsidR="0055191F" w:rsidRDefault="002B228D">
            <w:pPr>
              <w:widowControl w:val="0"/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55191F" w:rsidRDefault="002B228D">
            <w:pPr>
              <w:widowControl w:val="0"/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55191F" w:rsidRDefault="002B228D">
            <w:pPr>
              <w:widowControl w:val="0"/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55191F" w:rsidRDefault="002B228D">
            <w:pPr>
              <w:widowControl w:val="0"/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55191F">
        <w:trPr>
          <w:trHeight w:val="378"/>
        </w:trPr>
        <w:tc>
          <w:tcPr>
            <w:tcW w:w="9497" w:type="dxa"/>
            <w:gridSpan w:val="4"/>
          </w:tcPr>
          <w:p w:rsidR="0055191F" w:rsidRDefault="002B228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55191F">
        <w:trPr>
          <w:trHeight w:val="255"/>
        </w:trPr>
        <w:tc>
          <w:tcPr>
            <w:tcW w:w="3544" w:type="dxa"/>
            <w:gridSpan w:val="3"/>
          </w:tcPr>
          <w:p w:rsidR="0055191F" w:rsidRDefault="002B228D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3" w:type="dxa"/>
          </w:tcPr>
          <w:p w:rsidR="0055191F" w:rsidRDefault="002B228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55191F">
        <w:trPr>
          <w:trHeight w:val="210"/>
        </w:trPr>
        <w:tc>
          <w:tcPr>
            <w:tcW w:w="540" w:type="dxa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3" w:type="dxa"/>
          </w:tcPr>
          <w:p w:rsidR="0055191F" w:rsidRDefault="002B228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55191F" w:rsidRDefault="002B228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55191F" w:rsidRDefault="002B228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55191F" w:rsidRDefault="002B228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55191F" w:rsidRDefault="002B228D">
            <w:pPr>
              <w:spacing w:line="240" w:lineRule="auto"/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color w:val="000000"/>
                <w:szCs w:val="28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>
              <w:rPr>
                <w:szCs w:val="28"/>
                <w:lang w:eastAsia="uk-UA"/>
              </w:rPr>
              <w:t>“Про</w:t>
            </w:r>
            <w:proofErr w:type="spellEnd"/>
            <w:r>
              <w:rPr>
                <w:szCs w:val="28"/>
                <w:lang w:eastAsia="uk-UA"/>
              </w:rPr>
              <w:t xml:space="preserve"> доступ до публічної </w:t>
            </w:r>
            <w:proofErr w:type="spellStart"/>
            <w:r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55191F" w:rsidRDefault="002B228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>
              <w:rPr>
                <w:szCs w:val="28"/>
                <w:lang w:eastAsia="uk-UA"/>
              </w:rPr>
              <w:t>“Про</w:t>
            </w:r>
            <w:proofErr w:type="spellEnd"/>
            <w:r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>
              <w:rPr>
                <w:szCs w:val="28"/>
                <w:lang w:eastAsia="uk-UA"/>
              </w:rPr>
              <w:t>даних”</w:t>
            </w:r>
            <w:proofErr w:type="spellEnd"/>
            <w:r>
              <w:rPr>
                <w:szCs w:val="28"/>
                <w:lang w:eastAsia="uk-UA"/>
              </w:rPr>
              <w:t>.</w:t>
            </w:r>
          </w:p>
        </w:tc>
      </w:tr>
      <w:tr w:rsidR="0055191F">
        <w:trPr>
          <w:trHeight w:val="210"/>
        </w:trPr>
        <w:tc>
          <w:tcPr>
            <w:tcW w:w="540" w:type="dxa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4" w:type="dxa"/>
            <w:gridSpan w:val="2"/>
          </w:tcPr>
          <w:p w:rsidR="0055191F" w:rsidRDefault="002B228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3" w:type="dxa"/>
          </w:tcPr>
          <w:p w:rsidR="0055191F" w:rsidRDefault="002B228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загальнообов’язкове державне пенсійне страхування»;</w:t>
            </w:r>
          </w:p>
          <w:p w:rsidR="0055191F" w:rsidRDefault="002B228D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Закон України «Про пенсійне забезпечення осіб, звільнених з військової служби, та деяких інших осіб»;</w:t>
            </w:r>
          </w:p>
          <w:p w:rsidR="0055191F" w:rsidRDefault="002B228D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 Закон України «Про забезпечення прав і свобод внутрішньо переміщених осіб»;</w:t>
            </w:r>
          </w:p>
          <w:p w:rsidR="0055191F" w:rsidRDefault="002B22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державну службу»;</w:t>
            </w:r>
          </w:p>
          <w:p w:rsidR="0055191F" w:rsidRDefault="002B228D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Закон України «Про гарантії держави щодо виконання судових рішень»</w:t>
            </w:r>
          </w:p>
        </w:tc>
      </w:tr>
    </w:tbl>
    <w:p w:rsidR="0055191F" w:rsidRDefault="0055191F">
      <w:pPr>
        <w:pStyle w:val="af"/>
        <w:rPr>
          <w:bCs/>
          <w:szCs w:val="28"/>
        </w:rPr>
      </w:pPr>
    </w:p>
    <w:p w:rsidR="0055191F" w:rsidRDefault="0055191F">
      <w:pPr>
        <w:pStyle w:val="af"/>
        <w:jc w:val="center"/>
        <w:rPr>
          <w:bCs/>
          <w:szCs w:val="28"/>
        </w:rPr>
      </w:pPr>
    </w:p>
    <w:p w:rsidR="0055191F" w:rsidRDefault="0055191F">
      <w:pPr>
        <w:pStyle w:val="af"/>
        <w:jc w:val="center"/>
        <w:rPr>
          <w:bCs/>
          <w:szCs w:val="28"/>
        </w:rPr>
      </w:pPr>
    </w:p>
    <w:sectPr w:rsidR="0055191F" w:rsidSect="0055191F">
      <w:headerReference w:type="even" r:id="rId9"/>
      <w:footerReference w:type="even" r:id="rId10"/>
      <w:footerReference w:type="default" r:id="rId11"/>
      <w:footerReference w:type="first" r:id="rId12"/>
      <w:pgSz w:w="11906" w:h="16838"/>
      <w:pgMar w:top="567" w:right="567" w:bottom="1134" w:left="1701" w:header="0" w:footer="567" w:gutter="0"/>
      <w:cols w:space="720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91F" w:rsidRDefault="0055191F" w:rsidP="0055191F">
      <w:pPr>
        <w:spacing w:line="240" w:lineRule="auto"/>
      </w:pPr>
      <w:r>
        <w:separator/>
      </w:r>
    </w:p>
  </w:endnote>
  <w:endnote w:type="continuationSeparator" w:id="0">
    <w:p w:rsidR="0055191F" w:rsidRDefault="0055191F" w:rsidP="0055191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91F" w:rsidRDefault="0055191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91F" w:rsidRDefault="0055191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91F" w:rsidRDefault="005519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91F" w:rsidRDefault="0055191F" w:rsidP="0055191F">
      <w:pPr>
        <w:spacing w:line="240" w:lineRule="auto"/>
      </w:pPr>
      <w:r>
        <w:separator/>
      </w:r>
    </w:p>
  </w:footnote>
  <w:footnote w:type="continuationSeparator" w:id="0">
    <w:p w:rsidR="0055191F" w:rsidRDefault="0055191F" w:rsidP="0055191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91F" w:rsidRDefault="0055191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64E70"/>
    <w:multiLevelType w:val="multilevel"/>
    <w:tmpl w:val="E050EB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43F6E84"/>
    <w:multiLevelType w:val="multilevel"/>
    <w:tmpl w:val="DBCA629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17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</w:compat>
  <w:docVars>
    <w:docVar w:name="StepHandle" w:val="262696"/>
  </w:docVars>
  <w:rsids>
    <w:rsidRoot w:val="0055191F"/>
    <w:rsid w:val="0009191C"/>
    <w:rsid w:val="001842EC"/>
    <w:rsid w:val="002B228D"/>
    <w:rsid w:val="003A0EA6"/>
    <w:rsid w:val="0055191F"/>
    <w:rsid w:val="00681652"/>
    <w:rsid w:val="00710425"/>
    <w:rsid w:val="0083590F"/>
    <w:rsid w:val="00943FB3"/>
    <w:rsid w:val="00C02D3D"/>
    <w:rsid w:val="00C43A2A"/>
    <w:rsid w:val="00CC7FAE"/>
    <w:rsid w:val="00CF55AF"/>
    <w:rsid w:val="00D16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a8">
    <w:name w:val="Підзаголовок Знак"/>
    <w:basedOn w:val="a0"/>
    <w:link w:val="a9"/>
    <w:uiPriority w:val="99"/>
    <w:qFormat/>
    <w:rsid w:val="00DE0C41"/>
    <w:rPr>
      <w:b/>
      <w:sz w:val="28"/>
    </w:rPr>
  </w:style>
  <w:style w:type="character" w:customStyle="1" w:styleId="FontStyle11">
    <w:name w:val="Font Style11"/>
    <w:basedOn w:val="a0"/>
    <w:uiPriority w:val="99"/>
    <w:qFormat/>
    <w:rsid w:val="00D76ED3"/>
    <w:rPr>
      <w:rFonts w:ascii="Times New Roman" w:hAnsi="Times New Roman" w:cs="Times New Roman"/>
      <w:sz w:val="26"/>
      <w:szCs w:val="26"/>
    </w:rPr>
  </w:style>
  <w:style w:type="character" w:styleId="aa">
    <w:name w:val="Hyperlink"/>
    <w:rsid w:val="0055191F"/>
    <w:rPr>
      <w:color w:val="000080"/>
      <w:u w:val="single"/>
    </w:rPr>
  </w:style>
  <w:style w:type="paragraph" w:customStyle="1" w:styleId="ab">
    <w:name w:val="Заголовок"/>
    <w:basedOn w:val="a"/>
    <w:next w:val="a6"/>
    <w:qFormat/>
    <w:rsid w:val="0055191F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c">
    <w:name w:val="List"/>
    <w:basedOn w:val="a6"/>
    <w:rsid w:val="0055191F"/>
    <w:rPr>
      <w:rFonts w:cs="Lucida Sans"/>
    </w:rPr>
  </w:style>
  <w:style w:type="paragraph" w:customStyle="1" w:styleId="Caption">
    <w:name w:val="Caption"/>
    <w:basedOn w:val="a"/>
    <w:qFormat/>
    <w:rsid w:val="0055191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Покажчик"/>
    <w:basedOn w:val="a"/>
    <w:qFormat/>
    <w:rsid w:val="0055191F"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rsid w:val="0055191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e">
    <w:name w:val="Верхній і нижній колонтитули"/>
    <w:basedOn w:val="a"/>
    <w:qFormat/>
    <w:rsid w:val="0055191F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0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1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2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3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4">
    <w:name w:val="Вид документа"/>
    <w:basedOn w:val="af3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5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6">
    <w:name w:val="Назва документа"/>
    <w:basedOn w:val="a"/>
    <w:next w:val="af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7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8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9">
    <w:name w:val="Subtitle"/>
    <w:basedOn w:val="a"/>
    <w:link w:val="a8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paragraph" w:customStyle="1" w:styleId="11">
    <w:name w:val="Звичайний1"/>
    <w:qFormat/>
    <w:rsid w:val="00551E65"/>
    <w:pPr>
      <w:widowControl w:val="0"/>
      <w:spacing w:line="259" w:lineRule="auto"/>
      <w:ind w:firstLine="580"/>
      <w:jc w:val="both"/>
    </w:pPr>
    <w:rPr>
      <w:sz w:val="18"/>
      <w:lang w:eastAsia="ru-RU"/>
    </w:rPr>
  </w:style>
  <w:style w:type="paragraph" w:customStyle="1" w:styleId="af9">
    <w:name w:val="Вміст рамки"/>
    <w:basedOn w:val="a"/>
    <w:qFormat/>
    <w:rsid w:val="0055191F"/>
  </w:style>
  <w:style w:type="numbering" w:customStyle="1" w:styleId="afa">
    <w:name w:val="Без маркерів"/>
    <w:uiPriority w:val="99"/>
    <w:semiHidden/>
    <w:unhideWhenUsed/>
    <w:qFormat/>
    <w:rsid w:val="0055191F"/>
  </w:style>
  <w:style w:type="table" w:styleId="afb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7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F30F9-41DC-4C6D-812E-BD9C75C53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3064</Words>
  <Characters>1748</Characters>
  <Application>Microsoft Office Word</Application>
  <DocSecurity>0</DocSecurity>
  <Lines>14</Lines>
  <Paragraphs>9</Paragraphs>
  <ScaleCrop>false</ScaleCrop>
  <Company>KMU</Company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147</cp:revision>
  <cp:lastPrinted>2021-03-22T13:07:00Z</cp:lastPrinted>
  <dcterms:created xsi:type="dcterms:W3CDTF">2020-07-31T05:35:00Z</dcterms:created>
  <dcterms:modified xsi:type="dcterms:W3CDTF">2025-05-28T12:23:00Z</dcterms:modified>
  <dc:language>uk-UA</dc:language>
</cp:coreProperties>
</file>