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</w:r>
    </w:p>
    <w:tbl>
      <w:tblPr>
        <w:tblW w:w="9738" w:type="dxa"/>
        <w:jc w:val="center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47"/>
        <w:gridCol w:w="2323"/>
        <w:gridCol w:w="4368"/>
      </w:tblGrid>
      <w:tr>
        <w:trPr/>
        <w:tc>
          <w:tcPr>
            <w:tcW w:w="304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0" w:right="-284" w:hanging="0"/>
              <w:jc w:val="both"/>
              <w:rPr>
                <w:rFonts w:ascii="Times New Roman" w:hAnsi="Times New Roman" w:eastAsia="Times New Roman" w:cs="Times New Roman"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color w:val="2A2928"/>
                <w:sz w:val="28"/>
                <w:szCs w:val="28"/>
                <w:lang w:eastAsia="uk-UA"/>
              </w:rPr>
            </w:r>
          </w:p>
        </w:tc>
        <w:tc>
          <w:tcPr>
            <w:tcW w:w="23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0" w:right="-284" w:hanging="0"/>
              <w:jc w:val="both"/>
              <w:rPr>
                <w:rFonts w:ascii="Times New Roman" w:hAnsi="Times New Roman" w:eastAsia="Times New Roman" w:cs="Times New Roman"/>
                <w:b/>
                <w:b/>
                <w:bCs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b/>
                <w:bCs/>
                <w:color w:val="2A2928"/>
                <w:sz w:val="28"/>
                <w:szCs w:val="28"/>
                <w:lang w:eastAsia="uk-UA"/>
              </w:rPr>
            </w:r>
          </w:p>
        </w:tc>
        <w:tc>
          <w:tcPr>
            <w:tcW w:w="43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-108" w:right="-284" w:hanging="0"/>
              <w:rPr>
                <w:b w:val="false"/>
                <w:b w:val="false"/>
                <w:bCs w:val="false"/>
              </w:rPr>
            </w:pP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lang w:eastAsia="uk-UA"/>
              </w:rPr>
              <w:t>ЗАТВЕРДЖЕНО</w:t>
            </w:r>
          </w:p>
          <w:p>
            <w:pPr>
              <w:pStyle w:val="Normal"/>
              <w:spacing w:lineRule="auto" w:line="240" w:before="0" w:after="0"/>
              <w:ind w:left="-108" w:right="-284" w:hanging="0"/>
              <w:rPr/>
            </w:pP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lang w:eastAsia="uk-UA"/>
              </w:rPr>
              <w:t>наказом Головного управління Пенсійного фонду України в Рівненській області</w:t>
            </w:r>
          </w:p>
          <w:p>
            <w:pPr>
              <w:pStyle w:val="Normal"/>
              <w:spacing w:lineRule="auto" w:line="240" w:before="0" w:after="0"/>
              <w:ind w:left="-108" w:right="-284" w:hanging="0"/>
              <w:rPr/>
            </w:pP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u w:val="single"/>
                <w:lang w:eastAsia="uk-UA"/>
              </w:rPr>
              <w:t xml:space="preserve">28.09.2021   </w:t>
            </w: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lang w:eastAsia="uk-UA"/>
              </w:rPr>
              <w:t xml:space="preserve"> № </w:t>
            </w: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u w:val="single"/>
                <w:lang w:eastAsia="uk-UA"/>
              </w:rPr>
              <w:t>990</w:t>
            </w:r>
          </w:p>
          <w:p>
            <w:pPr>
              <w:pStyle w:val="Normal"/>
              <w:spacing w:lineRule="auto" w:line="240" w:before="0" w:after="0"/>
              <w:ind w:left="0" w:right="-284" w:hanging="0"/>
              <w:rPr>
                <w:rFonts w:ascii="Times New Roman" w:hAnsi="Times New Roman" w:eastAsia="Times New Roman" w:cs="Times New Roman"/>
                <w:b/>
                <w:b/>
                <w:bCs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b/>
                <w:bCs/>
                <w:color w:val="2A2928"/>
                <w:sz w:val="28"/>
                <w:szCs w:val="28"/>
                <w:lang w:eastAsia="uk-UA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b/>
          <w:bCs/>
          <w:sz w:val="28"/>
          <w:szCs w:val="28"/>
        </w:rPr>
        <w:t xml:space="preserve">УМОВИ </w:t>
      </w:r>
    </w:p>
    <w:p>
      <w:pPr>
        <w:pStyle w:val="Normal"/>
        <w:jc w:val="center"/>
        <w:rPr/>
      </w:pPr>
      <w:r>
        <w:rPr>
          <w:b/>
          <w:bCs/>
          <w:sz w:val="28"/>
          <w:szCs w:val="28"/>
        </w:rPr>
        <w:t xml:space="preserve">проведення конкурсу на зайняття посади державної служби категорії “В” - головного спеціаліста відділу перерахунків пенсій № 2 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  <w:sz w:val="28"/>
          <w:szCs w:val="28"/>
        </w:rPr>
        <w:t xml:space="preserve">управління пенсійного забезпечення, </w:t>
      </w:r>
      <w:r>
        <w:rPr>
          <w:rFonts w:eastAsia="Times New Roman" w:cs="Times New Roman"/>
          <w:b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em w:val="none"/>
          <w:lang w:val="uk-UA" w:eastAsia="zh-CN" w:bidi="ar-SA"/>
        </w:rPr>
        <w:t>строково, на період відсутності основного працівника (віддалене робоче місце смт. Володимирець,                 вул. Соборна, 28)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9645" w:type="dxa"/>
        <w:jc w:val="left"/>
        <w:tblInd w:w="46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-2" w:type="dxa"/>
          <w:bottom w:w="55" w:type="dxa"/>
          <w:right w:w="46" w:type="dxa"/>
        </w:tblCellMar>
      </w:tblPr>
      <w:tblGrid>
        <w:gridCol w:w="516"/>
        <w:gridCol w:w="2309"/>
        <w:gridCol w:w="591"/>
        <w:gridCol w:w="6229"/>
      </w:tblGrid>
      <w:tr>
        <w:trPr>
          <w:trHeight w:val="354" w:hRule="atLeast"/>
        </w:trPr>
        <w:tc>
          <w:tcPr>
            <w:tcW w:w="964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Загальні умови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left"/>
              <w:rPr>
                <w:b/>
                <w:b/>
                <w:bCs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Посадові обов</w:t>
            </w:r>
            <w:r>
              <w:rPr>
                <w:rFonts w:cs="Times New Roman"/>
                <w:b/>
                <w:bCs/>
                <w:sz w:val="28"/>
                <w:szCs w:val="28"/>
                <w:lang w:val="en-US"/>
              </w:rPr>
              <w:t>'</w:t>
            </w: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язки</w:t>
            </w:r>
          </w:p>
        </w:tc>
        <w:tc>
          <w:tcPr>
            <w:tcW w:w="62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shd w:fill="auto" w:val="clear"/>
                <w:lang w:val="uk-UA" w:eastAsia="zh-CN" w:bidi="ar-SA"/>
              </w:rPr>
              <w:t>- здійснення перерахунків пенсій та перевірка  пенсійних справ  на відповідність прийнятого рішення про перерахунок пенсій чинному законодавству, допризначення пенсій за донесеними документами;</w:t>
            </w:r>
          </w:p>
          <w:p>
            <w:pPr>
              <w:pStyle w:val="Style28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shd w:fill="auto" w:val="clear"/>
                <w:lang w:val="uk-UA" w:eastAsia="zh-CN" w:bidi="ar-SA"/>
              </w:rPr>
              <w:t>- узагальнення та аналіз результатів роботи відділу з питань перерахунків пенсій щодо дотримання строків проведення перерахунків пенсій, щомісячного довічного грошового утримання суддям у відставці, узагальнення пропозицій щодо правильності і своєчасності розгляду документів про перерахунок та виплату пенсій;</w:t>
            </w:r>
          </w:p>
          <w:p>
            <w:pPr>
              <w:pStyle w:val="Style28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shd w:fill="auto" w:val="clear"/>
                <w:lang w:val="uk-UA" w:eastAsia="zh-CN" w:bidi="ar-SA"/>
              </w:rPr>
              <w:t>- формування і направлення запитів та пропозицій щодо роботи систем та програмних комплексів використовуючи можливості підсистеми “Технічна підтримка” Інтегрованої комплексної інформаційної системи Пенсійного фонду України у сфері пенсійного забезпечення;</w:t>
            </w:r>
          </w:p>
          <w:p>
            <w:pPr>
              <w:pStyle w:val="Style28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shd w:fill="auto" w:val="clear"/>
                <w:lang w:val="uk-UA" w:eastAsia="zh-CN" w:bidi="ar-SA"/>
              </w:rPr>
              <w:t>- надання інформації та відповідей на запити з питань застосування норм пенсійного законодавства у межах своєї компетенції</w:t>
            </w:r>
          </w:p>
          <w:p>
            <w:pPr>
              <w:pStyle w:val="Style28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shd w:fill="auto" w:val="clear"/>
                <w:lang w:val="uk-UA" w:eastAsia="zh-CN" w:bidi="ar-SA"/>
              </w:rPr>
              <w:t>- організація та здійснення виконання судових рішень в межах зобов’язань з питань пенсійного забезпечення;</w:t>
            </w:r>
          </w:p>
          <w:p>
            <w:pPr>
              <w:pStyle w:val="Style28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shd w:fill="auto" w:val="clear"/>
                <w:lang w:val="uk-UA" w:eastAsia="zh-CN" w:bidi="ar-SA"/>
              </w:rPr>
              <w:t>- опрацювання довідок МСЕК;</w:t>
            </w:r>
          </w:p>
          <w:p>
            <w:pPr>
              <w:pStyle w:val="Style28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shd w:fill="auto" w:val="clear"/>
                <w:lang w:val="uk-UA" w:eastAsia="zh-CN" w:bidi="ar-SA"/>
              </w:rPr>
              <w:t>- участь у здійсненні заходів щодо реалізації завдань, визначених Стратегією модернізації та розвитку Пенсійного фонду України щодо оцифрування пенсійних справ;</w:t>
            </w:r>
          </w:p>
          <w:p>
            <w:pPr>
              <w:pStyle w:val="Style28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shd w:fill="auto" w:val="clear"/>
                <w:lang w:val="uk-UA" w:eastAsia="zh-CN" w:bidi="ar-SA"/>
              </w:rPr>
              <w:t>- проведення іншої роботи направленої на забезпечення виконання Положення про управління.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Умови оплати праці </w:t>
            </w:r>
          </w:p>
        </w:tc>
        <w:tc>
          <w:tcPr>
            <w:tcW w:w="62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spacing w:lineRule="auto" w:line="24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посадовий оклад — 55</w:t>
            </w:r>
            <w:r>
              <w:rPr>
                <w:rFonts w:cs="Times New Roman"/>
                <w:i w:val="false"/>
                <w:iCs w:val="false"/>
                <w:sz w:val="28"/>
                <w:szCs w:val="28"/>
                <w:lang w:val="uk-UA" w:eastAsia="zh-CN" w:bidi="hi-IN"/>
              </w:rPr>
              <w:t>00</w:t>
            </w: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 xml:space="preserve"> грн., надбавки, доплати, премії та компенсації відповідно до статті 52 Закону України “Про державну службу”; надбавка до посадового окладу за ранг відповідно до постанови Кабінету Міністрів України від 18 січня 2017 року № 15 “Питання оплати праці працівників державних органів” (із змінами). 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Інформація про строковість чи безстроковість призначення на посаду  </w:t>
            </w:r>
          </w:p>
        </w:tc>
        <w:tc>
          <w:tcPr>
            <w:tcW w:w="62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  <w:lang w:val="uk-UA"/>
              </w:rPr>
              <w:t xml:space="preserve">строково, </w:t>
            </w: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  <w:lang w:val="uk-UA" w:eastAsia="zh-CN" w:bidi="ar-SA"/>
              </w:rPr>
              <w:t>на період відсутності основного  працівника. Строк призначення особи, яка досягла 65-річного віку, становить один рік з правом повторного призначення без обов’язкового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left"/>
              <w:rPr/>
            </w:pPr>
            <w:r>
              <w:rPr>
                <w:rFonts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Перелік інформації, необхідної для участі в конкурсі, та строк її подання </w:t>
            </w:r>
          </w:p>
        </w:tc>
        <w:tc>
          <w:tcPr>
            <w:tcW w:w="62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Rvps12"/>
              <w:spacing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1) заяву про участь у конкурсі із зазначенням основних мотивів щодо зайняття посади за формою згідно з додатком 2 до Порядку проведення конкурсу на зайняття посад державної служби, затвердженого постановою Кабінету Міністрів України від 25 березня 2016 р. № 246 (зі змінами);</w:t>
            </w:r>
          </w:p>
          <w:p>
            <w:pPr>
              <w:pStyle w:val="Rvps12"/>
              <w:spacing w:before="0" w:after="0"/>
              <w:ind w:left="0" w:right="0" w:hanging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2) рез</w:t>
            </w:r>
            <w:r>
              <w:rPr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/>
              </w:rPr>
              <w:t>юме за формою згідно з </w:t>
            </w:r>
            <w:r>
              <w:fldChar w:fldCharType="begin"/>
            </w:r>
            <w:r>
              <w:instrText> HYPERLINK "https://zakon.rada.gov.ua/laws/show/246-2016-п/print" \l "n1039"</w:instrText>
            </w:r>
            <w:r>
              <w:fldChar w:fldCharType="separate"/>
            </w:r>
            <w:r>
              <w:rPr>
                <w:rStyle w:val="Style15"/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/>
              </w:rPr>
              <w:t>додатком 2</w:t>
            </w:r>
            <w:r>
              <w:fldChar w:fldCharType="end"/>
            </w:r>
            <w:r>
              <w:fldChar w:fldCharType="begin"/>
            </w:r>
            <w:r>
              <w:instrText> HYPERLINK "https://zakon.rada.gov.ua/laws/show/246-2016-п/print" \l "n1039"</w:instrText>
            </w:r>
            <w:r>
              <w:fldChar w:fldCharType="separate"/>
            </w:r>
            <w:r>
              <w:rPr>
                <w:rStyle w:val="Style15"/>
                <w:rFonts w:cs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/>
              </w:rPr>
              <w:t>-</w:t>
            </w:r>
            <w:r>
              <w:fldChar w:fldCharType="end"/>
            </w:r>
            <w:r>
              <w:rPr>
                <w:rStyle w:val="Style15"/>
                <w:rFonts w:cs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/>
              </w:rPr>
              <w:t>1</w:t>
            </w:r>
            <w:r>
              <w:rPr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/>
              </w:rPr>
              <w:t>, в якому обов’язково зазначається така інформація:</w:t>
            </w:r>
          </w:p>
          <w:p>
            <w:pPr>
              <w:pStyle w:val="Style19"/>
              <w:widowControl/>
              <w:numPr>
                <w:ilvl w:val="0"/>
                <w:numId w:val="0"/>
              </w:numPr>
              <w:spacing w:before="0" w:after="0"/>
              <w:ind w:left="720" w:hanging="0"/>
              <w:jc w:val="both"/>
              <w:rPr/>
            </w:pPr>
            <w:bookmarkStart w:id="0" w:name="n11721"/>
            <w:bookmarkEnd w:id="0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</w:rPr>
              <w:t>прізвище, ім’я, по батькові кандидата;</w:t>
            </w:r>
          </w:p>
          <w:p>
            <w:pPr>
              <w:pStyle w:val="Style19"/>
              <w:widowControl/>
              <w:numPr>
                <w:ilvl w:val="0"/>
                <w:numId w:val="0"/>
              </w:numPr>
              <w:spacing w:before="0" w:after="0"/>
              <w:ind w:left="720" w:hanging="0"/>
              <w:jc w:val="both"/>
              <w:rPr/>
            </w:pPr>
            <w:bookmarkStart w:id="1" w:name="n11731"/>
            <w:bookmarkEnd w:id="1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</w:rPr>
              <w:t>реквізити документа, що посвідчує особу та підтверджує громадянство України;</w:t>
            </w:r>
          </w:p>
          <w:p>
            <w:pPr>
              <w:pStyle w:val="Style19"/>
              <w:widowControl/>
              <w:numPr>
                <w:ilvl w:val="0"/>
                <w:numId w:val="0"/>
              </w:numPr>
              <w:spacing w:before="0" w:after="0"/>
              <w:ind w:left="720" w:hanging="0"/>
              <w:jc w:val="both"/>
              <w:rPr/>
            </w:pPr>
            <w:bookmarkStart w:id="2" w:name="n11741"/>
            <w:bookmarkEnd w:id="2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</w:rPr>
              <w:t>підтвердження наявності відповідного ступеня вищої освіти;</w:t>
            </w:r>
          </w:p>
          <w:p>
            <w:pPr>
              <w:pStyle w:val="Rvps12"/>
              <w:numPr>
                <w:ilvl w:val="0"/>
                <w:numId w:val="0"/>
              </w:numPr>
              <w:spacing w:before="0" w:after="0"/>
              <w:ind w:left="720" w:hanging="0"/>
              <w:jc w:val="both"/>
              <w:rPr/>
            </w:pPr>
            <w:bookmarkStart w:id="3" w:name="n11761"/>
            <w:bookmarkEnd w:id="3"/>
            <w:r>
              <w:rPr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/>
              </w:rPr>
              <w:t>відомості про стаж роботи, стаж державної служби (за наявності), досвід роботи на відповідних посадах у відповідній сфері, визначеній в умовах конкурсу, та на керівних посадах (за наявності відповідних вимог)</w:t>
            </w:r>
          </w:p>
          <w:p>
            <w:pPr>
              <w:pStyle w:val="Rvps12"/>
              <w:spacing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3) з</w:t>
            </w:r>
            <w:r>
              <w:rPr>
                <w:rFonts w:cs="Times New Roman"/>
                <w:color w:val="000000"/>
                <w:sz w:val="28"/>
                <w:szCs w:val="28"/>
              </w:rPr>
              <w:t>аяву</w:t>
            </w: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, в якій повідомляє, що до неї не застосовуються заборони, визначені </w:t>
            </w:r>
            <w:r>
              <w:rPr>
                <w:rStyle w:val="Style13"/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>частиною третьою</w:t>
            </w:r>
            <w:r>
              <w:rPr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 xml:space="preserve"> або </w:t>
            </w:r>
            <w:r>
              <w:rPr>
                <w:rStyle w:val="Style13"/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>четвертою</w:t>
            </w: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 статті 1 Закону України “Про очищення влади”, та надає згоду на проходження перевірки та на оприлюднення відомостей стосовно неї відповідно до зазначеного Закону;</w:t>
            </w:r>
          </w:p>
          <w:p>
            <w:pPr>
              <w:pStyle w:val="Rvps12"/>
              <w:spacing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>Подача додатків до заяви не є обов’язковою.</w:t>
            </w:r>
          </w:p>
          <w:p>
            <w:pPr>
              <w:pStyle w:val="Style19"/>
              <w:widowControl/>
              <w:spacing w:before="0" w:after="150"/>
              <w:ind w:left="0" w:right="0" w:hanging="0"/>
              <w:jc w:val="both"/>
              <w:rPr/>
            </w:pPr>
            <w:r>
              <w:rPr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 w:eastAsia="zh-CN" w:bidi="hi-IN"/>
              </w:rPr>
              <w:t>3</w:t>
            </w:r>
            <w:r>
              <w:rPr>
                <w:rFonts w:cs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16"/>
                <w:szCs w:val="28"/>
                <w:u w:val="none"/>
                <w:effect w:val="none"/>
                <w:lang w:val="uk-UA" w:eastAsia="zh-CN" w:bidi="hi-IN"/>
              </w:rPr>
              <w:t>-1</w:t>
            </w:r>
            <w:r>
              <w:rPr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 w:eastAsia="zh-CN" w:bidi="hi-IN"/>
              </w:rPr>
              <w:t>) копію Державного сертифіката про рівень володіння державною мовою (витяг з реєстру Державних сертифікатів про рівень володіння державною мовою), що підтверджує рівень володіння державною мовою, визначений Національною комісією зі стандартів державної мови.</w:t>
            </w:r>
          </w:p>
          <w:p>
            <w:pPr>
              <w:pStyle w:val="Rvps12"/>
              <w:spacing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Документи приймаються до 17 год. 00 хв.             25 жовтня 2021 року. 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left"/>
              <w:rPr/>
            </w:pPr>
            <w:r>
              <w:rPr>
                <w:b/>
                <w:bCs/>
                <w:sz w:val="28"/>
                <w:szCs w:val="28"/>
              </w:rPr>
              <w:t>Додаткові (необов’</w:t>
            </w:r>
            <w:r>
              <w:rPr>
                <w:b/>
                <w:bCs/>
                <w:sz w:val="28"/>
                <w:szCs w:val="28"/>
                <w:lang w:val="uk-UA"/>
              </w:rPr>
              <w:t>язкові) документи</w:t>
            </w:r>
          </w:p>
        </w:tc>
        <w:tc>
          <w:tcPr>
            <w:tcW w:w="62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Rvps12"/>
              <w:spacing w:before="0" w:after="0"/>
              <w:jc w:val="both"/>
              <w:rPr/>
            </w:pPr>
            <w:r>
              <w:rPr>
                <w:sz w:val="28"/>
                <w:szCs w:val="28"/>
              </w:rPr>
              <w:t>заява щодо забезпечення розумним пристосуванням за формою згідно з додатком 3 до Порядку проведення конкурсу на зайняття посад державної служби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left"/>
              <w:rPr/>
            </w:pPr>
            <w:r>
              <w:rPr>
                <w:b/>
                <w:bCs/>
                <w:sz w:val="28"/>
                <w:szCs w:val="28"/>
              </w:rPr>
              <w:t xml:space="preserve">Дата і час початку проведення тестування кандидатів. </w:t>
            </w:r>
          </w:p>
          <w:p>
            <w:pPr>
              <w:pStyle w:val="Style23"/>
              <w:jc w:val="left"/>
              <w:rPr/>
            </w:pPr>
            <w:r>
              <w:rPr>
                <w:b/>
                <w:bCs/>
                <w:sz w:val="28"/>
                <w:szCs w:val="28"/>
              </w:rPr>
              <w:t>Місце або спосіб проведення тестування.</w:t>
            </w:r>
          </w:p>
          <w:p>
            <w:pPr>
              <w:pStyle w:val="Style23"/>
              <w:jc w:val="left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Style23"/>
              <w:jc w:val="left"/>
              <w:rPr/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Місце або спосіб проведення співбесіди (із зазначенням електронної платформи для комунікації дистанційно)</w:t>
            </w:r>
          </w:p>
          <w:p>
            <w:pPr>
              <w:pStyle w:val="Style23"/>
              <w:spacing w:before="0" w:after="0"/>
              <w:ind w:left="0" w:right="0" w:hanging="0"/>
              <w:jc w:val="left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Style26"/>
              <w:spacing w:before="0" w:after="0"/>
              <w:ind w:left="0" w:right="0" w:hanging="0"/>
              <w:jc w:val="left"/>
              <w:rPr/>
            </w:pPr>
            <w:r>
              <w:rPr>
                <w:b/>
                <w:bCs/>
                <w:sz w:val="28"/>
                <w:szCs w:val="28"/>
              </w:rPr>
              <w:t>Місце або спосіб проведення співбесіди з метою визначення суб’єктом призначення або керівником державної служби переможця (переможців) конкурсу (із зазначенням електронної платформи для комунікації дистанційно)</w:t>
            </w:r>
          </w:p>
        </w:tc>
        <w:tc>
          <w:tcPr>
            <w:tcW w:w="62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Rvps12"/>
              <w:spacing w:before="0" w:after="0"/>
              <w:jc w:val="both"/>
              <w:rPr/>
            </w:pPr>
            <w:r>
              <w:rPr>
                <w:sz w:val="28"/>
                <w:szCs w:val="28"/>
              </w:rPr>
              <w:t>28 жовтня 2021 року 09 год. 00 хв.</w:t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/>
            </w:pPr>
            <w:r>
              <w:rPr>
                <w:sz w:val="28"/>
                <w:szCs w:val="28"/>
              </w:rPr>
              <w:t>м. Рівне, вул. Короленка, 7 (проведення тестування за фізичної присутності кандидата)</w:t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/>
            </w:pPr>
            <w:bookmarkStart w:id="4" w:name="__DdeLink__14942_3241170014"/>
            <w:bookmarkEnd w:id="4"/>
            <w:r>
              <w:rPr>
                <w:sz w:val="28"/>
                <w:szCs w:val="28"/>
              </w:rPr>
              <w:t>м. Рівне, вул. Короленка, 7 (проведення тестування за фізичної присутності кандидата)</w:t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bookmarkStart w:id="5" w:name="__DdeLink__14942_32411700141"/>
            <w:bookmarkStart w:id="6" w:name="__DdeLink__14942_32411700141"/>
            <w:bookmarkEnd w:id="6"/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/>
            </w:pPr>
            <w:r>
              <w:rPr>
                <w:sz w:val="28"/>
                <w:szCs w:val="28"/>
              </w:rPr>
              <w:t>м. Рівне, вул. Короленка, 7 (проведення тестування за фізичної присутності кандидата)</w:t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Прізвище, ім</w:t>
            </w:r>
            <w:r>
              <w:rPr>
                <w:rFonts w:cs="Times New Roman"/>
                <w:b/>
                <w:bCs/>
                <w:sz w:val="28"/>
                <w:szCs w:val="28"/>
                <w:lang w:val="en-US"/>
              </w:rPr>
              <w:t>'</w:t>
            </w: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я та по батькові, номер телефону та адреса електронної пошти особи, яка надає додаткову інформацію з питань добору з призначення на вакантну посаду</w:t>
            </w:r>
          </w:p>
        </w:tc>
        <w:tc>
          <w:tcPr>
            <w:tcW w:w="62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3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Ковальчук Світлана Олександрівна</w:t>
            </w:r>
          </w:p>
          <w:p>
            <w:pPr>
              <w:pStyle w:val="Style23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м.т.: 0362-63-33-42</w:t>
            </w:r>
          </w:p>
          <w:p>
            <w:pPr>
              <w:pStyle w:val="Style23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kad@rv.pfu.gov.ua </w:t>
            </w:r>
          </w:p>
        </w:tc>
      </w:tr>
      <w:tr>
        <w:trPr>
          <w:trHeight w:val="358" w:hRule="atLeast"/>
        </w:trPr>
        <w:tc>
          <w:tcPr>
            <w:tcW w:w="964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3"/>
              <w:jc w:val="center"/>
              <w:rPr>
                <w:sz w:val="28"/>
                <w:szCs w:val="28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Кваліфікаційні вимоги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Освіта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Вища, не нижче ступеня молодшого бакалавра або бакалавра</w:t>
            </w:r>
          </w:p>
        </w:tc>
      </w:tr>
      <w:tr>
        <w:trPr>
          <w:trHeight w:val="673" w:hRule="atLeast"/>
        </w:trPr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Досвід роботи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Не потребує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Володіння державною мовою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snapToGrid w:val="false"/>
              <w:ind w:left="171" w:right="152" w:hanging="171"/>
              <w:rPr>
                <w:rFonts w:ascii="Times New Roman" w:hAnsi="Times New Roman" w:cs="Times New Roman"/>
                <w:sz w:val="12"/>
                <w:szCs w:val="12"/>
                <w:lang w:val="uk-UA"/>
              </w:rPr>
            </w:pPr>
            <w:r>
              <w:rPr>
                <w:rFonts w:cs="Times New Roman"/>
                <w:sz w:val="12"/>
                <w:szCs w:val="12"/>
                <w:lang w:val="uk-UA"/>
              </w:rPr>
            </w:r>
          </w:p>
          <w:p>
            <w:pPr>
              <w:pStyle w:val="Normal"/>
              <w:ind w:left="171" w:right="152" w:hanging="171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Вільне володіння державною мовою</w:t>
            </w:r>
          </w:p>
        </w:tc>
      </w:tr>
      <w:tr>
        <w:trPr>
          <w:trHeight w:val="447" w:hRule="atLeast"/>
        </w:trPr>
        <w:tc>
          <w:tcPr>
            <w:tcW w:w="964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Вимоги до компетентності </w:t>
            </w:r>
          </w:p>
        </w:tc>
      </w:tr>
      <w:tr>
        <w:trPr>
          <w:trHeight w:val="510" w:hRule="atLeast"/>
        </w:trPr>
        <w:tc>
          <w:tcPr>
            <w:tcW w:w="28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>
                <w:b/>
                <w:b/>
                <w:bCs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Вимога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jc w:val="center"/>
              <w:rPr>
                <w:b/>
                <w:b/>
                <w:bCs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Компоненти вимоги</w:t>
            </w:r>
          </w:p>
        </w:tc>
      </w:tr>
      <w:tr>
        <w:trPr>
          <w:trHeight w:val="342" w:hRule="atLeast"/>
        </w:trPr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widowControl/>
              <w:suppressLineNumbers/>
              <w:suppressAutoHyphens w:val="true"/>
              <w:bidi w:val="0"/>
              <w:snapToGrid w:val="false"/>
              <w:ind w:left="0" w:right="0" w:hanging="0"/>
              <w:jc w:val="left"/>
              <w:rPr/>
            </w:pPr>
            <w:r>
              <w:rPr>
                <w:rStyle w:val="Style14"/>
                <w:rFonts w:cs="Times New Roman"/>
                <w:b/>
                <w:bCs/>
                <w:i w:val="false"/>
                <w:sz w:val="28"/>
                <w:szCs w:val="28"/>
                <w:lang w:val="uk-UA" w:eastAsia="zh-CN" w:bidi="hi-IN"/>
              </w:rPr>
              <w:t>Цифрова грамотність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snapToGrid w:val="false"/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вміння використовувати комп’ютерні пристрої, базове офісне та спеціалізоване програмне забезпечення для ефективного виконання своїх посадових обов’язків;</w:t>
            </w:r>
          </w:p>
          <w:p>
            <w:pPr>
              <w:pStyle w:val="Style26"/>
              <w:snapToGrid w:val="false"/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>
            <w:pPr>
              <w:pStyle w:val="Style26"/>
              <w:snapToGrid w:val="false"/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обов’язків; вміти користуватися кваліфікованим електронним підписом (КЕП)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snapToGrid w:val="false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 w:eastAsia="zh-CN" w:bidi="hi-IN"/>
              </w:rPr>
              <w:t>Відповідальність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snapToGrid w:val="false"/>
              <w:ind w:left="0" w:right="0" w:firstLine="17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>
            <w:pPr>
              <w:pStyle w:val="Style26"/>
              <w:snapToGrid w:val="false"/>
              <w:ind w:left="0" w:right="0" w:firstLine="170"/>
              <w:jc w:val="both"/>
              <w:rPr/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  <w:t>- 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рішень.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snapToGrid w:val="false"/>
              <w:jc w:val="both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Управління організацією роботи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snapToGrid w:val="false"/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чітке бачення цілі;</w:t>
            </w:r>
          </w:p>
          <w:p>
            <w:pPr>
              <w:pStyle w:val="Style26"/>
              <w:snapToGrid w:val="false"/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ефективне управління ресурсами;</w:t>
            </w:r>
          </w:p>
          <w:p>
            <w:pPr>
              <w:pStyle w:val="Style26"/>
              <w:snapToGrid w:val="false"/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чітке планування реалізації;</w:t>
            </w:r>
          </w:p>
          <w:p>
            <w:pPr>
              <w:pStyle w:val="Style26"/>
              <w:snapToGrid w:val="false"/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ефективне формування та управління процесами</w:t>
            </w:r>
          </w:p>
        </w:tc>
      </w:tr>
      <w:tr>
        <w:trPr/>
        <w:tc>
          <w:tcPr>
            <w:tcW w:w="964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b/>
                <w:bCs/>
                <w:sz w:val="28"/>
                <w:szCs w:val="28"/>
              </w:rPr>
              <w:t>Професійні знання</w:t>
            </w:r>
          </w:p>
        </w:tc>
      </w:tr>
      <w:tr>
        <w:trPr/>
        <w:tc>
          <w:tcPr>
            <w:tcW w:w="28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b/>
                <w:bCs/>
                <w:sz w:val="28"/>
                <w:szCs w:val="28"/>
              </w:rPr>
              <w:t>Вимога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left="171" w:right="152" w:hanging="171"/>
              <w:jc w:val="center"/>
              <w:rPr/>
            </w:pPr>
            <w:r>
              <w:rPr>
                <w:b/>
                <w:bCs/>
                <w:sz w:val="28"/>
                <w:szCs w:val="28"/>
              </w:rPr>
              <w:t>Компоненти вимоги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snapToGrid w:val="false"/>
              <w:jc w:val="both"/>
              <w:rPr/>
            </w:pPr>
            <w:r>
              <w:rPr>
                <w:b/>
                <w:bCs/>
                <w:sz w:val="28"/>
                <w:szCs w:val="28"/>
              </w:rPr>
              <w:t>Знання  законодавства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 w:val="false"/>
              <w:ind w:left="171" w:right="152" w:hanging="171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 xml:space="preserve"> </w:t>
            </w: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Знання:</w:t>
            </w:r>
          </w:p>
          <w:p>
            <w:pPr>
              <w:pStyle w:val="Normal"/>
              <w:widowControl w:val="false"/>
              <w:ind w:left="165" w:right="165" w:hanging="181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Конституції України;</w:t>
            </w:r>
          </w:p>
          <w:p>
            <w:pPr>
              <w:pStyle w:val="Normal"/>
              <w:widowControl w:val="false"/>
              <w:ind w:left="165" w:right="165" w:hanging="181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Закону України “Про державну службу”;</w:t>
            </w:r>
          </w:p>
          <w:p>
            <w:pPr>
              <w:pStyle w:val="Normal"/>
              <w:widowControl w:val="false"/>
              <w:snapToGrid w:val="false"/>
              <w:ind w:left="165" w:right="165" w:hanging="165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Закону України “Про запобігання корупції”.</w:t>
            </w:r>
          </w:p>
        </w:tc>
      </w:tr>
      <w:tr>
        <w:trPr/>
        <w:tc>
          <w:tcPr>
            <w:tcW w:w="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snapToGrid w:val="false"/>
              <w:jc w:val="both"/>
              <w:rPr/>
            </w:pPr>
            <w:r>
              <w:rPr>
                <w:b/>
                <w:bCs/>
                <w:sz w:val="28"/>
                <w:szCs w:val="28"/>
              </w:rPr>
              <w:t>Знання законодавства у сфері</w:t>
            </w:r>
          </w:p>
        </w:tc>
        <w:tc>
          <w:tcPr>
            <w:tcW w:w="68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“Про загальнообов’язкове державне пенсійне страхування”;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“Про пенсійне забезпечення”;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 xml:space="preserve">- Закон України </w:t>
            </w:r>
            <w:bookmarkStart w:id="7" w:name="__DdeLink__4680_25888853491"/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“</w:t>
            </w:r>
            <w:bookmarkEnd w:id="7"/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Про збір на обов</w:t>
            </w:r>
            <w:r>
              <w:rPr>
                <w:rFonts w:cs="Times New Roman"/>
                <w:sz w:val="28"/>
                <w:szCs w:val="28"/>
                <w:shd w:fill="auto" w:val="clear"/>
                <w:lang w:val="ru-RU"/>
              </w:rPr>
              <w:t>'</w:t>
            </w: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язкове державне пенсійне страхування”;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Закон України «Про статус і соціальний захист громадян, які постраждали внаслідок Чорнобильської катастрофи»;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оплату праці»;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судоустрій та статус суддів»;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прокуратуру»;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наукову і науково-технічну діяльність»;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державну підтримку засобів масової інформації та соціальний захист журналістів»;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національний банк України»;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службу в органах місцевого самоврядування»;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пенсійне забезпечення»;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пенсійне забезпечення осіб, звільнених з військової служби та деяких інших осіб»;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статус народного депутата України»;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судову експертизу»;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дипломатичну службу»;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Закон України «Про Кабінет Міністрів України»;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Митного кодексу України;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auto" w:val="clear"/>
                <w:lang w:val="uk-UA"/>
              </w:rPr>
              <w:t>- Порядку подання та оформлення документів для призначення (перерахунку) пенсій відповідно до Закону України "Про загальнообов'язкове державне пенсійне страхування" затвердженого Постановою правління Пенсійного фонду України 25.11.2005 № 22-1.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567" w:header="0" w:top="600" w:footer="0" w:bottom="578" w:gutter="0"/>
      <w:pgNumType w:fmt="decimal"/>
      <w:formProt w:val="false"/>
      <w:textDirection w:val="lrTb"/>
      <w:docGrid w:type="default" w:linePitch="6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720"/>
      </w:pPr>
    </w:lvl>
    <w:lvl w:ilvl="3">
      <w:start w:val="1"/>
      <w:pStyle w:val="4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4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qFormat/>
    <w:pPr>
      <w:keepNext w:val="true"/>
      <w:numPr>
        <w:ilvl w:val="1"/>
        <w:numId w:val="1"/>
      </w:numPr>
      <w:spacing w:lineRule="auto" w:line="276"/>
      <w:jc w:val="center"/>
      <w:outlineLvl w:val="1"/>
    </w:pPr>
    <w:rPr>
      <w:rFonts w:eastAsia="Calibri"/>
      <w:b/>
      <w:sz w:val="28"/>
      <w:szCs w:val="28"/>
      <w:lang w:val="ru-RU"/>
    </w:rPr>
  </w:style>
  <w:style w:type="paragraph" w:styleId="3">
    <w:name w:val="Heading 3"/>
    <w:basedOn w:val="Normal"/>
    <w:qFormat/>
    <w:pPr>
      <w:keepNext w:val="true"/>
      <w:numPr>
        <w:ilvl w:val="2"/>
        <w:numId w:val="1"/>
      </w:numPr>
      <w:jc w:val="right"/>
      <w:outlineLvl w:val="2"/>
    </w:pPr>
    <w:rPr>
      <w:b/>
      <w:sz w:val="28"/>
      <w:szCs w:val="20"/>
    </w:rPr>
  </w:style>
  <w:style w:type="paragraph" w:styleId="4">
    <w:name w:val="Heading 4"/>
    <w:basedOn w:val="Style18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1" w:customStyle="1">
    <w:name w:val="Символ нумерации"/>
    <w:qFormat/>
    <w:rPr/>
  </w:style>
  <w:style w:type="character" w:styleId="Style12" w:customStyle="1">
    <w:name w:val="Текст выноски Знак"/>
    <w:basedOn w:val="DefaultParagraphFont"/>
    <w:link w:val="af"/>
    <w:uiPriority w:val="99"/>
    <w:semiHidden/>
    <w:qFormat/>
    <w:rsid w:val="00eb5a88"/>
    <w:rPr>
      <w:rFonts w:ascii="Tahoma" w:hAnsi="Tahoma" w:eastAsia="Times New Roman" w:cs="Tahoma"/>
      <w:color w:val="000000"/>
      <w:sz w:val="16"/>
      <w:szCs w:val="16"/>
      <w:lang w:bidi="ar-SA"/>
    </w:rPr>
  </w:style>
  <w:style w:type="character" w:styleId="FontStyle15">
    <w:name w:val="Font Style15"/>
    <w:qFormat/>
    <w:rPr>
      <w:rFonts w:ascii="Times New Roman" w:hAnsi="Times New Roman" w:cs="Times New Roman"/>
      <w:sz w:val="24"/>
      <w:szCs w:val="24"/>
    </w:rPr>
  </w:style>
  <w:style w:type="character" w:styleId="Style13">
    <w:name w:val="Интернет-ссылка"/>
    <w:qFormat/>
    <w:rPr>
      <w:color w:val="000080"/>
      <w:u w:val="single"/>
      <w:lang w:val="zxx" w:eastAsia="zxx" w:bidi="zxx"/>
    </w:rPr>
  </w:style>
  <w:style w:type="character" w:styleId="Style14">
    <w:name w:val="Выделение"/>
    <w:qFormat/>
    <w:rPr>
      <w:i/>
      <w:iCs/>
    </w:rPr>
  </w:style>
  <w:style w:type="character" w:styleId="Style15">
    <w:name w:val="Гіперпосилання"/>
    <w:rPr>
      <w:color w:val="000080"/>
      <w:u w:val="single"/>
      <w:lang w:val="zxx" w:eastAsia="zxx" w:bidi="zxx"/>
    </w:rPr>
  </w:style>
  <w:style w:type="character" w:styleId="Style16">
    <w:name w:val="Виділення"/>
    <w:qFormat/>
    <w:rPr>
      <w:i/>
      <w:iCs/>
    </w:rPr>
  </w:style>
  <w:style w:type="character" w:styleId="Style17">
    <w:name w:val="Маркери списку"/>
    <w:qFormat/>
    <w:rPr>
      <w:rFonts w:ascii="OpenSymbol" w:hAnsi="OpenSymbol" w:eastAsia="OpenSymbol" w:cs="OpenSymbol"/>
    </w:rPr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character" w:styleId="ListLabel10">
    <w:name w:val="ListLabel 10"/>
    <w:qFormat/>
    <w:rPr>
      <w:rFonts w:ascii="Times New Roman" w:hAnsi="Times New Roman" w:cs="Times New Roman"/>
      <w:b w:val="false"/>
      <w:i w:val="false"/>
      <w:caps w:val="false"/>
      <w:smallCaps w:val="false"/>
      <w:strike w:val="false"/>
      <w:dstrike w:val="false"/>
      <w:color w:val="000000"/>
      <w:spacing w:val="0"/>
      <w:sz w:val="28"/>
      <w:szCs w:val="28"/>
      <w:u w:val="none"/>
      <w:effect w:val="none"/>
      <w:lang w:val="uk-UA"/>
    </w:rPr>
  </w:style>
  <w:style w:type="character" w:styleId="ListLabel11">
    <w:name w:val="ListLabel 11"/>
    <w:qFormat/>
    <w:rPr>
      <w:rFonts w:ascii="Times New Roman" w:hAnsi="Times New Roman" w:cs="Times New Roman"/>
      <w:b/>
      <w:i w:val="false"/>
      <w:caps w:val="false"/>
      <w:smallCaps w:val="false"/>
      <w:strike w:val="false"/>
      <w:dstrike w:val="false"/>
      <w:color w:val="000000"/>
      <w:spacing w:val="0"/>
      <w:sz w:val="28"/>
      <w:szCs w:val="28"/>
      <w:u w:val="none"/>
      <w:effect w:val="none"/>
      <w:lang w:val="uk-UA"/>
    </w:rPr>
  </w:style>
  <w:style w:type="character" w:styleId="ListLabel12">
    <w:name w:val="ListLabel 12"/>
    <w:qFormat/>
    <w:rPr>
      <w:rFonts w:cs="Times New Roman"/>
      <w:b w:val="false"/>
      <w:i w:val="false"/>
      <w:caps w:val="false"/>
      <w:smallCaps w:val="false"/>
      <w:strike w:val="false"/>
      <w:dstrike w:val="false"/>
      <w:color w:val="000000"/>
      <w:spacing w:val="0"/>
      <w:sz w:val="28"/>
      <w:szCs w:val="28"/>
      <w:u w:val="none"/>
      <w:effect w:val="none"/>
      <w:lang w:val="uk-UA"/>
    </w:rPr>
  </w:style>
  <w:style w:type="character" w:styleId="ListLabel13">
    <w:name w:val="ListLabel 13"/>
    <w:qFormat/>
    <w:rPr>
      <w:rFonts w:cs="Times New Roman"/>
      <w:b/>
      <w:i w:val="false"/>
      <w:caps w:val="false"/>
      <w:smallCaps w:val="false"/>
      <w:strike w:val="false"/>
      <w:dstrike w:val="false"/>
      <w:color w:val="000000"/>
      <w:spacing w:val="0"/>
      <w:sz w:val="28"/>
      <w:szCs w:val="28"/>
      <w:u w:val="none"/>
      <w:effect w:val="none"/>
      <w:lang w:val="uk-UA"/>
    </w:rPr>
  </w:style>
  <w:style w:type="paragraph" w:styleId="Style18" w:customStyle="1">
    <w:name w:val="Заголовок"/>
    <w:basedOn w:val="Normal"/>
    <w:next w:val="Style19"/>
    <w:qFormat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Style19">
    <w:name w:val="Body Text"/>
    <w:basedOn w:val="Normal"/>
    <w:pPr>
      <w:jc w:val="both"/>
    </w:pPr>
    <w:rPr>
      <w:sz w:val="28"/>
    </w:rPr>
  </w:style>
  <w:style w:type="paragraph" w:styleId="Style20">
    <w:name w:val="List"/>
    <w:basedOn w:val="Style19"/>
    <w:pPr/>
    <w:rPr>
      <w:rFonts w:cs="Mang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Index1">
    <w:name w:val="index 1"/>
    <w:basedOn w:val="Normal"/>
    <w:qFormat/>
    <w:pPr>
      <w:spacing w:lineRule="atLeast" w:line="240"/>
      <w:ind w:right="-6" w:hanging="0"/>
      <w:jc w:val="center"/>
    </w:pPr>
    <w:rPr>
      <w:b/>
      <w:sz w:val="28"/>
      <w:szCs w:val="20"/>
      <w:lang w:val="ru-RU"/>
    </w:rPr>
  </w:style>
  <w:style w:type="paragraph" w:styleId="Style23" w:customStyle="1">
    <w:name w:val="Содержимое таблицы"/>
    <w:basedOn w:val="Normal"/>
    <w:qFormat/>
    <w:pPr>
      <w:suppressLineNumbers/>
    </w:pPr>
    <w:rPr/>
  </w:style>
  <w:style w:type="paragraph" w:styleId="Style24" w:customStyle="1">
    <w:name w:val="Заголовок таблицы"/>
    <w:basedOn w:val="Style23"/>
    <w:qFormat/>
    <w:pPr>
      <w:jc w:val="center"/>
    </w:pPr>
    <w:rPr>
      <w:b/>
      <w:bCs/>
    </w:rPr>
  </w:style>
  <w:style w:type="paragraph" w:styleId="Style25">
    <w:name w:val="Body Text Indent"/>
    <w:basedOn w:val="Normal"/>
    <w:pPr>
      <w:spacing w:before="0" w:after="120"/>
      <w:ind w:left="283" w:hanging="0"/>
    </w:pPr>
    <w:rPr/>
  </w:style>
  <w:style w:type="paragraph" w:styleId="WW" w:customStyle="1">
    <w:name w:val="WW-Базовый"/>
    <w:qFormat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hi-IN" w:bidi="hi-IN"/>
    </w:rPr>
  </w:style>
  <w:style w:type="paragraph" w:styleId="BodyTextIndent3">
    <w:name w:val="Body Text Indent 3"/>
    <w:basedOn w:val="WW"/>
    <w:qFormat/>
    <w:pPr>
      <w:ind w:left="4678" w:hanging="0"/>
      <w:jc w:val="center"/>
      <w:textAlignment w:val="baseline"/>
    </w:pPr>
    <w:rPr>
      <w:sz w:val="28"/>
      <w:lang w:eastAsia="ru-RU"/>
    </w:rPr>
  </w:style>
  <w:style w:type="paragraph" w:styleId="Style26" w:customStyle="1">
    <w:name w:val="Вміст таблиці"/>
    <w:basedOn w:val="Normal"/>
    <w:qFormat/>
    <w:pPr>
      <w:suppressLineNumbers/>
    </w:pPr>
    <w:rPr/>
  </w:style>
  <w:style w:type="paragraph" w:styleId="Style27" w:customStyle="1">
    <w:name w:val="Заголовок таблиці"/>
    <w:basedOn w:val="Style26"/>
    <w:qFormat/>
    <w:pPr>
      <w:jc w:val="center"/>
    </w:pPr>
    <w:rPr>
      <w:b/>
      <w:bCs/>
    </w:rPr>
  </w:style>
  <w:style w:type="paragraph" w:styleId="BalloonText">
    <w:name w:val="Balloon Text"/>
    <w:basedOn w:val="Normal"/>
    <w:link w:val="af0"/>
    <w:uiPriority w:val="99"/>
    <w:semiHidden/>
    <w:unhideWhenUsed/>
    <w:qFormat/>
    <w:rsid w:val="00eb5a88"/>
    <w:pPr/>
    <w:rPr>
      <w:rFonts w:ascii="Tahoma" w:hAnsi="Tahoma" w:cs="Tahoma"/>
      <w:sz w:val="16"/>
      <w:szCs w:val="16"/>
    </w:rPr>
  </w:style>
  <w:style w:type="paragraph" w:styleId="Style28">
    <w:name w:val="Обычный (веб)"/>
    <w:basedOn w:val="Normal"/>
    <w:qFormat/>
    <w:pPr>
      <w:spacing w:before="280" w:after="280"/>
    </w:pPr>
    <w:rPr>
      <w:sz w:val="24"/>
      <w:szCs w:val="24"/>
      <w:lang w:val="ru-RU"/>
    </w:rPr>
  </w:style>
  <w:style w:type="paragraph" w:styleId="Style29">
    <w:name w:val="Основной текст"/>
    <w:basedOn w:val="Normal"/>
    <w:qFormat/>
    <w:pPr>
      <w:spacing w:lineRule="auto" w:line="288" w:before="0" w:after="140"/>
    </w:pPr>
    <w:rPr/>
  </w:style>
  <w:style w:type="paragraph" w:styleId="Rvps12">
    <w:name w:val="rvps12"/>
    <w:basedOn w:val="Normal"/>
    <w:qFormat/>
    <w:pPr>
      <w:spacing w:before="280" w:after="280"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Application>LibreOffice/5.4.4.2$Windows_X86_64 LibreOffice_project/2524958677847fb3bb44820e40380acbe820f960</Application>
  <Pages>5</Pages>
  <Words>990</Words>
  <Characters>6667</Characters>
  <CharactersWithSpaces>7603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2020-10-27T16:50:00Z</dcterms:created>
  <dc:creator>kadr2</dc:creator>
  <dc:description/>
  <dc:language>uk-UA</dc:language>
  <cp:lastModifiedBy/>
  <cp:lastPrinted>2020-09-24T18:04:00Z</cp:lastPrinted>
  <dcterms:modified xsi:type="dcterms:W3CDTF">2021-09-28T15:20:33Z</dcterms:modified>
  <cp:revision>53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