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738" w:type="dxa"/>
        <w:jc w:val="center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47"/>
        <w:gridCol w:w="2323"/>
        <w:gridCol w:w="4368"/>
      </w:tblGrid>
      <w:tr>
        <w:trPr/>
        <w:tc>
          <w:tcPr>
            <w:tcW w:w="3047" w:type="dxa"/>
            <w:tcBorders/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ind w:left="0" w:right="-284" w:hanging="0"/>
              <w:jc w:val="both"/>
              <w:rPr>
                <w:rFonts w:eastAsia="Times New Roman" w:cs="Times New Roman"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2323" w:type="dxa"/>
            <w:tcBorders/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ind w:left="0" w:right="-284" w:hanging="0"/>
              <w:jc w:val="both"/>
              <w:rPr>
                <w:rFonts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43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-108" w:right="-284" w:hanging="0"/>
              <w:rPr>
                <w:rFonts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  <w:t>ЗАТВЕРДЖЕНО</w:t>
            </w:r>
          </w:p>
          <w:p>
            <w:pPr>
              <w:pStyle w:val="Normal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  <w:t>Наказ Головного управління Пенсійного фонду України в Рівненській області</w:t>
            </w:r>
          </w:p>
          <w:p>
            <w:pPr>
              <w:pStyle w:val="Normal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u w:val="single"/>
                <w:lang w:eastAsia="uk-UA"/>
              </w:rPr>
              <w:t xml:space="preserve">16.12.2021   </w:t>
            </w: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  <w:t xml:space="preserve"> № </w:t>
            </w: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  <w:t>1298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УМОВИ 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проведення конкурсу на зайняття посади державної служби категорії “В” - головного спеціаліста відділу обслуговування громадян 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(сервісний центр) № 9 управління обслуговування громадян </w:t>
      </w:r>
      <w:r>
        <w:rPr>
          <w:rFonts w:eastAsia="Times New Roman" w:cs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uk-UA" w:eastAsia="zh-CN" w:bidi="ar-SA"/>
        </w:rPr>
        <w:t>(віддалене робоче місце місто Рівне, вул. Яворницького, 34)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680" w:type="dxa"/>
        <w:jc w:val="left"/>
        <w:tblInd w:w="4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-2" w:type="dxa"/>
          <w:bottom w:w="55" w:type="dxa"/>
          <w:right w:w="50" w:type="dxa"/>
        </w:tblCellMar>
      </w:tblPr>
      <w:tblGrid>
        <w:gridCol w:w="514"/>
        <w:gridCol w:w="2302"/>
        <w:gridCol w:w="7"/>
        <w:gridCol w:w="593"/>
        <w:gridCol w:w="6264"/>
      </w:tblGrid>
      <w:tr>
        <w:trPr>
          <w:trHeight w:val="354" w:hRule="atLeast"/>
        </w:trPr>
        <w:tc>
          <w:tcPr>
            <w:tcW w:w="968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Загальні умови</w:t>
            </w:r>
          </w:p>
        </w:tc>
      </w:tr>
      <w:tr>
        <w:trPr/>
        <w:tc>
          <w:tcPr>
            <w:tcW w:w="34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Посадові обов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язки</w:t>
            </w:r>
          </w:p>
        </w:tc>
        <w:tc>
          <w:tcPr>
            <w:tcW w:w="6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rFonts w:eastAsia="Calibri"/>
                <w:sz w:val="28"/>
                <w:szCs w:val="28"/>
                <w:lang w:val="uk-UA" w:eastAsia="zh-CN" w:bidi="ar-SA"/>
              </w:rPr>
              <w:t>- надання якісних консультацій в сервісному центрі та на віддалених робочих місцях з питань застосування законодавства про загальнообов’язкове державне пенсійне страхування;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>- приймання заяв та документів, необхідних для призначення, перерахунку пенсій, переведення на інший вид пенсії;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>- надання допомоги в отриманні необхідних документів для реалізації конституційного права на пенсійне забезпечення;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>- підготовка документів для передачі до відділів з питань призначення та перерахунків пенсій для подальшого опрацювання;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>- приймання анкет на виготовлення пенсійних посвідчень та їх видача;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>- видача довідок;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>- передача, в разі необхідності, документів поданих для призначення, перерахунку пенсій підрозділу контрольно-перевірочної роботи для проведення перевірок їх достовірності;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>- проведення інформаційно-роз’яснювальної роботи;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 xml:space="preserve">- розгляд звернень громадян в межах компетенції; </w:t>
            </w:r>
          </w:p>
          <w:p>
            <w:pPr>
              <w:pStyle w:val="Normal"/>
              <w:widowControl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rFonts w:eastAsia="Calibri"/>
                <w:sz w:val="28"/>
                <w:szCs w:val="28"/>
                <w:highlight w:val="white"/>
                <w:lang w:val="uk-UA" w:eastAsia="zh-CN" w:bidi="ar-SA"/>
              </w:rPr>
              <w:t>- виконання інших обов’язків згідно із завданнями, визначеними положенням про управління обслуго</w:t>
            </w:r>
            <w:r>
              <w:rPr>
                <w:rStyle w:val="WW8Num3z2"/>
                <w:rFonts w:eastAsia="Calibri" w:cs="Times New Roman"/>
                <w:sz w:val="28"/>
                <w:szCs w:val="28"/>
                <w:highlight w:val="white"/>
                <w:lang w:val="uk-UA" w:eastAsia="zh-CN" w:bidi="ar-SA"/>
              </w:rPr>
              <w:t>вування громадян.</w:t>
            </w:r>
          </w:p>
        </w:tc>
      </w:tr>
      <w:tr>
        <w:trPr/>
        <w:tc>
          <w:tcPr>
            <w:tcW w:w="34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both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Умови оплати праці </w:t>
            </w:r>
          </w:p>
        </w:tc>
        <w:tc>
          <w:tcPr>
            <w:tcW w:w="6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spacing w:lineRule="auto" w:line="24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посадовий оклад — 55</w:t>
            </w:r>
            <w:r>
              <w:rPr>
                <w:rFonts w:cs="Times New Roman"/>
                <w:i w:val="false"/>
                <w:iCs w:val="false"/>
                <w:sz w:val="28"/>
                <w:szCs w:val="28"/>
                <w:lang w:val="uk-UA" w:eastAsia="zh-CN" w:bidi="hi-IN"/>
              </w:rPr>
              <w:t>00</w:t>
            </w: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 xml:space="preserve"> грн., надбавки, доплати, премії та компенсації відповідно до статті 52 Закону України “Про державну службу”; надбавка до посадового окладу за ранг відповідно до постанови Кабінету Міністрів України від 18 січня 2017 року № 15 “Питання оплати праці працівників державних органів” (із змінами). </w:t>
            </w:r>
          </w:p>
        </w:tc>
      </w:tr>
      <w:tr>
        <w:trPr/>
        <w:tc>
          <w:tcPr>
            <w:tcW w:w="34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Інформація про строковість чи безстроковість призначення на посаду  </w:t>
            </w:r>
          </w:p>
          <w:p>
            <w:pPr>
              <w:pStyle w:val="Style21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</w:r>
          </w:p>
        </w:tc>
        <w:tc>
          <w:tcPr>
            <w:tcW w:w="6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1"/>
              <w:jc w:val="both"/>
              <w:rPr/>
            </w:pPr>
            <w:bookmarkStart w:id="0" w:name="__DdeLink__2354_3190848176"/>
            <w:r>
              <w:rPr>
                <w:rFonts w:cs="Times New Roman"/>
                <w:sz w:val="28"/>
                <w:szCs w:val="28"/>
                <w:lang w:val="uk-UA"/>
              </w:rPr>
              <w:t xml:space="preserve">безстроково </w:t>
            </w:r>
            <w:bookmarkEnd w:id="0"/>
            <w:r>
              <w:rPr>
                <w:rFonts w:cs="Times New Roman"/>
                <w:sz w:val="28"/>
                <w:szCs w:val="28"/>
                <w:lang w:val="uk-UA"/>
              </w:rPr>
              <w:t>(строк призначення особи, яка досягла 65-річного віку, становить один рік з правом повторного призначення без обов’язкового проведення конкурсу щороку)</w:t>
            </w:r>
          </w:p>
        </w:tc>
      </w:tr>
      <w:tr>
        <w:trPr/>
        <w:tc>
          <w:tcPr>
            <w:tcW w:w="34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>
                <w:rFonts w:cs="Times New Roman"/>
                <w:b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Перелік інформації, необхідної для участі в конкурсі, та строк її подання </w:t>
            </w:r>
          </w:p>
        </w:tc>
        <w:tc>
          <w:tcPr>
            <w:tcW w:w="6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1) заяву про участь у конкурсі із зазначенням основних мотивів щодо зайняття посади за формою згідно з додатком 2 до Порядку проведення конкурсу на зайняття посад державної служби, затвердженого постановою Кабінету Міністрів України від 25 березня 2016 р. № 246 (зі змінами);</w:t>
            </w:r>
          </w:p>
          <w:p>
            <w:pPr>
              <w:pStyle w:val="Rvps12"/>
              <w:spacing w:before="0" w:after="0"/>
              <w:ind w:left="0" w:right="0" w:hanging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2) рез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юме за формою згідно з </w:t>
            </w:r>
            <w:r>
              <w:fldChar w:fldCharType="begin"/>
            </w:r>
            <w:r>
              <w:instrText> HYPERLINK "https://zakon.rada.gov.ua/laws/show/246-2016-п/print" \l "n1039"</w:instrText>
            </w:r>
            <w:r>
              <w:fldChar w:fldCharType="separate"/>
            </w:r>
            <w:r>
              <w:rPr>
                <w:rStyle w:val="Style15"/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додатком 2</w:t>
            </w:r>
            <w:r>
              <w:fldChar w:fldCharType="end"/>
            </w:r>
            <w:r>
              <w:fldChar w:fldCharType="begin"/>
            </w:r>
            <w:r>
              <w:instrText> HYPERLINK "https://zakon.rada.gov.ua/laws/show/246-2016-п/print" \l "n1039"</w:instrText>
            </w:r>
            <w:r>
              <w:fldChar w:fldCharType="separate"/>
            </w:r>
            <w:r>
              <w:rPr>
                <w:rStyle w:val="Style15"/>
                <w:rFonts w:cs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-</w:t>
            </w:r>
            <w:r>
              <w:fldChar w:fldCharType="end"/>
            </w:r>
            <w:r>
              <w:rPr>
                <w:rStyle w:val="Style15"/>
                <w:rFonts w:cs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1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, в якому обов’язково зазначається така інформація:</w:t>
            </w:r>
          </w:p>
          <w:p>
            <w:pPr>
              <w:pStyle w:val="Style17"/>
              <w:widowControl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1" w:name="n11721"/>
            <w:bookmarkEnd w:id="1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  <w:t>прізвище, ім’я, по батькові кандидата;</w:t>
            </w:r>
          </w:p>
          <w:p>
            <w:pPr>
              <w:pStyle w:val="Style17"/>
              <w:widowControl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2" w:name="n11731"/>
            <w:bookmarkEnd w:id="2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  <w:t>реквізити документа, що посвідчує особу та підтверджує громадянство України;</w:t>
            </w:r>
          </w:p>
          <w:p>
            <w:pPr>
              <w:pStyle w:val="Style17"/>
              <w:widowControl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3" w:name="n11741"/>
            <w:bookmarkEnd w:id="3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  <w:t>підтвердження наявності відповідного ступеня вищої освіти;</w:t>
            </w:r>
          </w:p>
          <w:p>
            <w:pPr>
              <w:pStyle w:val="Rvps12"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4" w:name="n11761"/>
            <w:bookmarkEnd w:id="4"/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конкурсу, та на керівних посадах (за наявності відповідних вимог)</w:t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3) з</w:t>
            </w:r>
            <w:r>
              <w:rPr>
                <w:rFonts w:cs="Times New Roman"/>
                <w:color w:val="000000"/>
                <w:sz w:val="28"/>
                <w:szCs w:val="28"/>
              </w:rPr>
              <w:t>аяву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, в якій повідомляє, що до неї не застосовуються заборони, визначені </w:t>
            </w:r>
            <w:r>
              <w:rPr>
                <w:rStyle w:val="Style13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частиною третьою</w:t>
            </w:r>
            <w:r>
              <w:rPr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 xml:space="preserve"> або </w:t>
            </w:r>
            <w:r>
              <w:rPr>
                <w:rStyle w:val="Style13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четвертою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 статті 1 Закону України “Про очищення влади”, та надає згоду на проходження перевірки та на оприлюднення відомостей стосовно неї відповідно до зазначеного Закону;</w:t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>Подача додатків до заяви не є обов’язковою.</w:t>
            </w:r>
          </w:p>
          <w:p>
            <w:pPr>
              <w:pStyle w:val="Style17"/>
              <w:widowControl/>
              <w:spacing w:before="0" w:after="150"/>
              <w:ind w:left="0" w:right="0" w:hanging="0"/>
              <w:jc w:val="both"/>
              <w:rPr/>
            </w:pP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 w:eastAsia="zh-CN" w:bidi="hi-IN"/>
              </w:rPr>
              <w:t>3</w:t>
            </w:r>
            <w:r>
              <w:rPr>
                <w:rFonts w:cs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16"/>
                <w:szCs w:val="28"/>
                <w:u w:val="none"/>
                <w:effect w:val="none"/>
                <w:lang w:val="uk-UA" w:eastAsia="zh-CN" w:bidi="hi-IN"/>
              </w:rPr>
              <w:t>-1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 w:eastAsia="zh-CN" w:bidi="hi-IN"/>
              </w:rPr>
              <w:t>) копію Державного сертифіката про рівень володіння державною мовою (витяг з реєстру Державних сертифікатів про рівень володіння державною мовою), що підтверджує рівень володіння державною мовою, визначений Національною комісією зі стандартів державної мови.</w:t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Документи приймаються до 17 год. 00 хв.              23 грудня 2021 року. </w:t>
            </w:r>
          </w:p>
        </w:tc>
      </w:tr>
      <w:tr>
        <w:trPr/>
        <w:tc>
          <w:tcPr>
            <w:tcW w:w="34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Додаткові (необов’</w:t>
            </w:r>
            <w:r>
              <w:rPr>
                <w:b/>
                <w:bCs/>
                <w:sz w:val="28"/>
                <w:szCs w:val="28"/>
                <w:lang w:val="uk-UA"/>
              </w:rPr>
              <w:t>язкові) документи</w:t>
            </w:r>
          </w:p>
        </w:tc>
        <w:tc>
          <w:tcPr>
            <w:tcW w:w="6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заява щодо забезпечення розумним пристосуванням за формою згідно з додатком 3 до Порядку проведення конкурсу на зайняття посад державної служби</w:t>
            </w:r>
          </w:p>
        </w:tc>
      </w:tr>
      <w:tr>
        <w:trPr/>
        <w:tc>
          <w:tcPr>
            <w:tcW w:w="34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Дата і час початку проведення тестування кандидатів. </w:t>
            </w:r>
          </w:p>
          <w:p>
            <w:pPr>
              <w:pStyle w:val="Style21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Місце або спосіб проведення тестування. Місце або спосіб проведення співбесіди (із зазначенням електронної платформи для комунікації дистанційно)</w:t>
            </w:r>
          </w:p>
          <w:p>
            <w:pPr>
              <w:pStyle w:val="Style21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Місце або спосіб проведення співбесіди з метою визначення суб’єктом призначення або керівником державної служби переможця (переможців) конкурсу (із зазначенням електронної платформи для комунікації дистанційно)</w:t>
            </w:r>
          </w:p>
        </w:tc>
        <w:tc>
          <w:tcPr>
            <w:tcW w:w="6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29 грудня 2021 року 09 год. 00 хв.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Рівне, вул. Короленка, 7 (проведення тестування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</w:tc>
      </w:tr>
      <w:tr>
        <w:trPr/>
        <w:tc>
          <w:tcPr>
            <w:tcW w:w="34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Прізвище, ім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 та по батькові, номер телефону та адреса електронної пошти особи, яка надає додаткову інформацію з питань добору з призначення на вакантну посаду</w:t>
            </w:r>
          </w:p>
        </w:tc>
        <w:tc>
          <w:tcPr>
            <w:tcW w:w="6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1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Ковальчук Світлана Олександрівна</w:t>
            </w:r>
          </w:p>
          <w:p>
            <w:pPr>
              <w:pStyle w:val="Style21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м.т.: 0362-63-33-42</w:t>
            </w:r>
          </w:p>
          <w:p>
            <w:pPr>
              <w:pStyle w:val="Style21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kad@rv.pfu.gov.ua </w:t>
            </w:r>
          </w:p>
        </w:tc>
      </w:tr>
      <w:tr>
        <w:trPr>
          <w:trHeight w:val="358" w:hRule="atLeast"/>
        </w:trPr>
        <w:tc>
          <w:tcPr>
            <w:tcW w:w="968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1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Кваліфікаційні вимоги</w:t>
            </w:r>
          </w:p>
        </w:tc>
      </w:tr>
      <w:tr>
        <w:trPr/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Освіта</w:t>
            </w:r>
          </w:p>
        </w:tc>
        <w:tc>
          <w:tcPr>
            <w:tcW w:w="686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Вища, не нижче ступеня молодшого бакалавра або бакалавра</w:t>
            </w:r>
          </w:p>
        </w:tc>
      </w:tr>
      <w:tr>
        <w:trPr>
          <w:trHeight w:val="673" w:hRule="atLeast"/>
        </w:trPr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Досвід роботи</w:t>
            </w:r>
          </w:p>
        </w:tc>
        <w:tc>
          <w:tcPr>
            <w:tcW w:w="686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Не потребує</w:t>
            </w:r>
          </w:p>
        </w:tc>
      </w:tr>
      <w:tr>
        <w:trPr/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Володіння державною мовою</w:t>
            </w:r>
          </w:p>
        </w:tc>
        <w:tc>
          <w:tcPr>
            <w:tcW w:w="686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snapToGrid w:val="false"/>
              <w:ind w:left="171" w:right="152" w:hanging="171"/>
              <w:rPr>
                <w:rFonts w:cs="Times New Roman"/>
                <w:sz w:val="12"/>
                <w:szCs w:val="12"/>
                <w:lang w:val="uk-UA"/>
              </w:rPr>
            </w:pPr>
            <w:r>
              <w:rPr>
                <w:rFonts w:cs="Times New Roman"/>
                <w:sz w:val="12"/>
                <w:szCs w:val="12"/>
                <w:lang w:val="uk-UA"/>
              </w:rPr>
            </w:r>
          </w:p>
          <w:p>
            <w:pPr>
              <w:pStyle w:val="Normal"/>
              <w:ind w:left="171" w:right="152" w:hanging="171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Вільне володіння державною мовою</w:t>
            </w:r>
          </w:p>
        </w:tc>
      </w:tr>
      <w:tr>
        <w:trPr>
          <w:trHeight w:val="447" w:hRule="atLeast"/>
        </w:trPr>
        <w:tc>
          <w:tcPr>
            <w:tcW w:w="968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Вимоги до компетентності </w:t>
            </w:r>
          </w:p>
        </w:tc>
      </w:tr>
      <w:tr>
        <w:trPr>
          <w:trHeight w:val="510" w:hRule="atLeast"/>
        </w:trPr>
        <w:tc>
          <w:tcPr>
            <w:tcW w:w="282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Вимога</w:t>
            </w:r>
          </w:p>
        </w:tc>
        <w:tc>
          <w:tcPr>
            <w:tcW w:w="685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Компоненти вимоги</w:t>
            </w:r>
          </w:p>
        </w:tc>
      </w:tr>
      <w:tr>
        <w:trPr>
          <w:trHeight w:val="342" w:hRule="atLeast"/>
        </w:trPr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widowControl/>
              <w:suppressLineNumbers/>
              <w:suppressAutoHyphens w:val="true"/>
              <w:bidi w:val="0"/>
              <w:snapToGrid w:val="false"/>
              <w:ind w:left="0" w:right="0" w:hanging="0"/>
              <w:jc w:val="left"/>
              <w:rPr/>
            </w:pPr>
            <w:r>
              <w:rPr>
                <w:rStyle w:val="Style14"/>
                <w:rFonts w:cs="Times New Roman"/>
                <w:b/>
                <w:bCs/>
                <w:i w:val="false"/>
                <w:sz w:val="28"/>
                <w:szCs w:val="28"/>
                <w:lang w:val="uk-UA" w:eastAsia="zh-CN" w:bidi="hi-IN"/>
              </w:rPr>
              <w:t>Цифрова грамотність</w:t>
            </w:r>
          </w:p>
        </w:tc>
        <w:tc>
          <w:tcPr>
            <w:tcW w:w="686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вміння використовувати комп’ютерні пристрої, базове офісне та спеціалізоване програмне забезпечення для ефективного виконання своїх посадових обов’язків;</w:t>
            </w:r>
          </w:p>
          <w:p>
            <w:pPr>
              <w:pStyle w:val="Style24"/>
              <w:snapToGrid w:val="false"/>
              <w:ind w:left="0" w:right="0" w:firstLine="17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>
            <w:pPr>
              <w:pStyle w:val="Style24"/>
              <w:snapToGrid w:val="false"/>
              <w:ind w:left="0" w:right="0" w:firstLine="17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обов’язків.</w:t>
            </w:r>
          </w:p>
        </w:tc>
      </w:tr>
      <w:tr>
        <w:trPr/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jc w:val="both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Ведення діалогу</w:t>
            </w:r>
          </w:p>
        </w:tc>
        <w:tc>
          <w:tcPr>
            <w:tcW w:w="686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numPr>
                <w:ilvl w:val="0"/>
                <w:numId w:val="2"/>
              </w:numPr>
              <w:tabs>
                <w:tab w:val="left" w:pos="225" w:leader="none"/>
                <w:tab w:val="left" w:pos="357" w:leader="none"/>
              </w:tabs>
              <w:suppressAutoHyphens w:val="true"/>
              <w:bidi w:val="0"/>
              <w:ind w:left="0" w:right="0" w:hanging="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- здатність чути та сприймати думки та погляди інших учасників діалогу;</w:t>
            </w:r>
          </w:p>
          <w:p>
            <w:pPr>
              <w:pStyle w:val="Normal"/>
              <w:widowControl/>
              <w:numPr>
                <w:ilvl w:val="0"/>
                <w:numId w:val="2"/>
              </w:numPr>
              <w:tabs>
                <w:tab w:val="left" w:pos="357" w:leader="none"/>
              </w:tabs>
              <w:suppressAutoHyphens w:val="true"/>
              <w:bidi w:val="0"/>
              <w:ind w:left="0" w:right="0" w:hanging="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- спрямованість на відкрите прийняття рішення, яке є найбільш прийнятним для усіх учасників діалогу, враховує озвучені ними інтереси та потреби;</w:t>
            </w:r>
          </w:p>
          <w:p>
            <w:pPr>
              <w:pStyle w:val="Normal"/>
              <w:widowControl/>
              <w:numPr>
                <w:ilvl w:val="0"/>
                <w:numId w:val="2"/>
              </w:numPr>
              <w:tabs>
                <w:tab w:val="left" w:pos="357" w:leader="none"/>
              </w:tabs>
              <w:suppressAutoHyphens w:val="true"/>
              <w:bidi w:val="0"/>
              <w:ind w:left="0" w:right="0" w:hanging="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- орієнтація на представлення різних поглядів та думок на предмет обговорення;</w:t>
            </w:r>
          </w:p>
          <w:p>
            <w:pPr>
              <w:pStyle w:val="Normal"/>
              <w:widowControl/>
              <w:numPr>
                <w:ilvl w:val="0"/>
                <w:numId w:val="2"/>
              </w:numPr>
              <w:tabs>
                <w:tab w:val="left" w:pos="357" w:leader="none"/>
              </w:tabs>
              <w:suppressAutoHyphens w:val="true"/>
              <w:bidi w:val="0"/>
              <w:snapToGrid w:val="false"/>
              <w:spacing w:before="0" w:after="160"/>
              <w:ind w:left="0" w:right="0" w:hanging="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- здатність брати відповідальність за керування процесом діалогу</w:t>
            </w:r>
          </w:p>
        </w:tc>
      </w:tr>
      <w:tr>
        <w:trPr/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 w:eastAsia="zh-CN" w:bidi="hi-IN"/>
              </w:rPr>
              <w:t>Відповідальність</w:t>
            </w:r>
          </w:p>
        </w:tc>
        <w:tc>
          <w:tcPr>
            <w:tcW w:w="686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>
            <w:pPr>
              <w:pStyle w:val="Style24"/>
              <w:snapToGrid w:val="false"/>
              <w:ind w:left="0" w:right="0" w:firstLine="17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- 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рішень.</w:t>
            </w:r>
          </w:p>
        </w:tc>
      </w:tr>
      <w:tr>
        <w:trPr/>
        <w:tc>
          <w:tcPr>
            <w:tcW w:w="968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Професійні знання</w:t>
            </w:r>
          </w:p>
        </w:tc>
      </w:tr>
      <w:tr>
        <w:trPr/>
        <w:tc>
          <w:tcPr>
            <w:tcW w:w="282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Вимога</w:t>
            </w:r>
          </w:p>
        </w:tc>
        <w:tc>
          <w:tcPr>
            <w:tcW w:w="685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left="171" w:right="152" w:hanging="171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Компоненти вимоги</w:t>
            </w:r>
          </w:p>
        </w:tc>
      </w:tr>
      <w:tr>
        <w:trPr/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Знання  законодавства</w:t>
            </w:r>
          </w:p>
        </w:tc>
        <w:tc>
          <w:tcPr>
            <w:tcW w:w="686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left="171" w:right="152" w:hanging="17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uk-UA"/>
              </w:rPr>
              <w:t>Знання:</w:t>
            </w:r>
          </w:p>
          <w:p>
            <w:pPr>
              <w:pStyle w:val="Normal"/>
              <w:ind w:left="165" w:right="165" w:hanging="181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Конституції України;</w:t>
            </w:r>
          </w:p>
          <w:p>
            <w:pPr>
              <w:pStyle w:val="Normal"/>
              <w:ind w:left="165" w:right="165" w:hanging="181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державну службу”;</w:t>
            </w:r>
          </w:p>
          <w:p>
            <w:pPr>
              <w:pStyle w:val="Normal"/>
              <w:snapToGrid w:val="false"/>
              <w:ind w:left="165" w:right="165" w:hanging="165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запобігання корупції”.</w:t>
            </w:r>
          </w:p>
        </w:tc>
      </w:tr>
      <w:tr>
        <w:trPr/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Знання законодавства у сфері</w:t>
            </w:r>
          </w:p>
        </w:tc>
        <w:tc>
          <w:tcPr>
            <w:tcW w:w="686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snapToGrid w:val="false"/>
              <w:ind w:left="165" w:right="165" w:hanging="165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- Закону України </w:t>
            </w:r>
            <w:r>
              <w:rPr>
                <w:rFonts w:cs="Times New Roman"/>
                <w:sz w:val="28"/>
                <w:szCs w:val="28"/>
                <w:lang w:val="en-US"/>
              </w:rPr>
              <w:t>“</w:t>
            </w:r>
            <w:r>
              <w:rPr>
                <w:rFonts w:cs="Times New Roman"/>
                <w:sz w:val="28"/>
                <w:szCs w:val="28"/>
                <w:lang w:val="uk-UA"/>
              </w:rPr>
              <w:t>Про загальнообов’язкове державне пенсійне страхування”;</w:t>
            </w:r>
          </w:p>
          <w:p>
            <w:pPr>
              <w:pStyle w:val="Normal"/>
              <w:snapToGrid w:val="false"/>
              <w:ind w:left="165" w:right="165" w:hanging="165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пенсійне забезпечення”;</w:t>
            </w:r>
          </w:p>
          <w:p>
            <w:pPr>
              <w:pStyle w:val="Normal"/>
              <w:snapToGrid w:val="false"/>
              <w:ind w:left="0" w:right="165" w:hanging="0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звернення громадян”;</w:t>
            </w:r>
          </w:p>
          <w:p>
            <w:pPr>
              <w:pStyle w:val="Normal"/>
              <w:ind w:left="0" w:right="51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- Закону </w:t>
            </w:r>
            <w:r>
              <w:rPr>
                <w:rFonts w:cs="Times New Roman"/>
                <w:sz w:val="28"/>
                <w:szCs w:val="28"/>
              </w:rPr>
              <w:t>України “</w:t>
            </w:r>
            <w:r>
              <w:rPr>
                <w:rFonts w:cs="Times New Roman"/>
                <w:color w:val="000000"/>
                <w:sz w:val="28"/>
                <w:szCs w:val="28"/>
              </w:rPr>
              <w:t>Про статус і соціальний захист громадян, які постраждали внаслідок Чорнобильської катастрофи”</w:t>
            </w: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;</w:t>
            </w:r>
          </w:p>
          <w:p>
            <w:pPr>
              <w:pStyle w:val="Normal"/>
              <w:ind w:left="0" w:right="51" w:hanging="0"/>
              <w:jc w:val="both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 Закону України “Про пенсійне забезпечення осіб, звільнених з військової служби, та деяких інших осіб”;</w:t>
            </w:r>
          </w:p>
          <w:p>
            <w:pPr>
              <w:pStyle w:val="Normal"/>
              <w:ind w:left="0" w:right="51" w:hanging="0"/>
              <w:jc w:val="both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Закону України “Про прокуратуру”;</w:t>
            </w:r>
          </w:p>
          <w:p>
            <w:pPr>
              <w:pStyle w:val="Normal"/>
              <w:ind w:left="0" w:right="51" w:hanging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- Закону України “Про </w:t>
            </w:r>
            <w:r>
              <w:rPr>
                <w:rFonts w:cs="Times New Roman"/>
                <w:color w:val="000000"/>
                <w:sz w:val="28"/>
                <w:szCs w:val="28"/>
              </w:rPr>
              <w:t>статус ветеранів війни, гарантії їх соціального захисту”</w:t>
            </w: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;</w:t>
            </w:r>
          </w:p>
          <w:p>
            <w:pPr>
              <w:pStyle w:val="Normal"/>
              <w:ind w:left="0" w:right="51" w:hanging="0"/>
              <w:jc w:val="both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Закону України “Про судоустрій і статус суддів”;</w:t>
            </w:r>
          </w:p>
          <w:p>
            <w:pPr>
              <w:pStyle w:val="Normal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Положення Про організацію прийому та обслуговування осіб, які звертаються до органів  Пенсійного фонду України, затвердженого постановою Правління Пенсійного фонду України №13-1 від 30.07.2015;</w:t>
            </w:r>
          </w:p>
          <w:p>
            <w:pPr>
              <w:pStyle w:val="Normal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Порядку подання та оформлення документів для призначення (перерахунку) пенсій відповідно до Закону України “Про загальнообов’язкове державне пенсійне страхування”, затвердженого постановою Правління Пенсійного фонду України №22-1 від 25.11.2005;</w:t>
            </w:r>
          </w:p>
          <w:p>
            <w:pPr>
              <w:pStyle w:val="Normal"/>
              <w:widowControl/>
              <w:suppressAutoHyphens w:val="true"/>
              <w:bidi w:val="0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Інших нормативно-правових актів, необхідних для виконання завдань, визначених Положенням про управління обслуговування громадян.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567" w:header="0" w:top="600" w:footer="0" w:bottom="578" w:gutter="0"/>
      <w:pgNumType w:fmt="decimal"/>
      <w:formProt w:val="false"/>
      <w:textDirection w:val="lrTb"/>
      <w:docGrid w:type="default" w:linePitch="6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72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576"/>
      </w:pPr>
    </w:lvl>
    <w:lvl w:ilvl="2">
      <w:start w:val="1"/>
      <w:numFmt w:val="none"/>
      <w:suff w:val="nothing"/>
      <w:lvlText w:val=""/>
      <w:lvlJc w:val="left"/>
      <w:pPr>
        <w:ind w:left="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4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uk-UA" w:eastAsia="zh-CN" w:bidi="ar-SA"/>
    </w:rPr>
  </w:style>
  <w:style w:type="paragraph" w:styleId="2">
    <w:name w:val="Heading 2"/>
    <w:basedOn w:val="Normal"/>
    <w:qFormat/>
    <w:pPr>
      <w:keepNext w:val="true"/>
      <w:numPr>
        <w:ilvl w:val="1"/>
        <w:numId w:val="1"/>
      </w:numPr>
      <w:spacing w:lineRule="auto" w:line="276"/>
      <w:jc w:val="center"/>
      <w:outlineLvl w:val="1"/>
    </w:pPr>
    <w:rPr>
      <w:rFonts w:eastAsia="Calibri"/>
      <w:b/>
      <w:sz w:val="28"/>
      <w:szCs w:val="28"/>
      <w:lang w:val="ru-RU"/>
    </w:rPr>
  </w:style>
  <w:style w:type="paragraph" w:styleId="3">
    <w:name w:val="Heading 3"/>
    <w:basedOn w:val="Normal"/>
    <w:qFormat/>
    <w:pPr>
      <w:keepNext w:val="true"/>
      <w:numPr>
        <w:ilvl w:val="2"/>
        <w:numId w:val="1"/>
      </w:numPr>
      <w:jc w:val="right"/>
      <w:outlineLvl w:val="2"/>
    </w:pPr>
    <w:rPr>
      <w:b/>
      <w:sz w:val="28"/>
      <w:szCs w:val="20"/>
    </w:rPr>
  </w:style>
  <w:style w:type="paragraph" w:styleId="4">
    <w:name w:val="Heading 4"/>
    <w:basedOn w:val="Style16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DefaultParagraphFont">
    <w:name w:val="Default Paragraph Font"/>
    <w:qFormat/>
    <w:rPr/>
  </w:style>
  <w:style w:type="character" w:styleId="Style11">
    <w:name w:val="Символ нумерации"/>
    <w:qFormat/>
    <w:rPr/>
  </w:style>
  <w:style w:type="character" w:styleId="Style12">
    <w:name w:val="Текст выноски Знак"/>
    <w:basedOn w:val="DefaultParagraphFont"/>
    <w:qFormat/>
    <w:rPr>
      <w:rFonts w:ascii="Tahoma" w:hAnsi="Tahoma" w:eastAsia="Times New Roman" w:cs="Tahoma"/>
      <w:color w:val="000000"/>
      <w:sz w:val="16"/>
      <w:szCs w:val="16"/>
      <w:lang w:bidi="ar-SA"/>
    </w:rPr>
  </w:style>
  <w:style w:type="character" w:styleId="FontStyle15">
    <w:name w:val="Font Style15"/>
    <w:qFormat/>
    <w:rPr>
      <w:rFonts w:ascii="Times New Roman" w:hAnsi="Times New Roman" w:cs="Times New Roman"/>
      <w:sz w:val="24"/>
      <w:szCs w:val="24"/>
    </w:rPr>
  </w:style>
  <w:style w:type="character" w:styleId="Style13">
    <w:name w:val="Интернет-ссылка"/>
    <w:qFormat/>
    <w:rPr>
      <w:color w:val="000080"/>
      <w:u w:val="single"/>
      <w:lang w:val="zxx" w:eastAsia="zxx" w:bidi="zxx"/>
    </w:rPr>
  </w:style>
  <w:style w:type="character" w:styleId="Style14">
    <w:name w:val="Выделение"/>
    <w:qFormat/>
    <w:rPr>
      <w:i/>
      <w:iCs/>
    </w:rPr>
  </w:style>
  <w:style w:type="character" w:styleId="WW8Num3z2">
    <w:name w:val="WW8Num3z2"/>
    <w:qFormat/>
    <w:rPr/>
  </w:style>
  <w:style w:type="character" w:styleId="Style15">
    <w:name w:val="Гіперпосилання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tyle17">
    <w:name w:val="Body Text"/>
    <w:basedOn w:val="Normal"/>
    <w:pPr>
      <w:jc w:val="both"/>
    </w:pPr>
    <w:rPr>
      <w:sz w:val="28"/>
    </w:rPr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Index1">
    <w:name w:val="index 1"/>
    <w:basedOn w:val="Normal"/>
    <w:qFormat/>
    <w:pPr>
      <w:spacing w:lineRule="atLeast" w:line="240"/>
      <w:ind w:left="0" w:right="-6" w:hanging="0"/>
      <w:jc w:val="center"/>
    </w:pPr>
    <w:rPr>
      <w:b/>
      <w:sz w:val="28"/>
      <w:szCs w:val="20"/>
      <w:lang w:val="ru-RU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paragraph" w:styleId="Style22">
    <w:name w:val="Заголовок таблицы"/>
    <w:basedOn w:val="Style21"/>
    <w:qFormat/>
    <w:pPr>
      <w:jc w:val="center"/>
    </w:pPr>
    <w:rPr>
      <w:b/>
      <w:bCs/>
    </w:rPr>
  </w:style>
  <w:style w:type="paragraph" w:styleId="Style23">
    <w:name w:val="Body Text Indent"/>
    <w:basedOn w:val="Normal"/>
    <w:pPr>
      <w:spacing w:before="0" w:after="120"/>
      <w:ind w:left="283" w:right="0" w:hanging="0"/>
    </w:pPr>
    <w:rPr/>
  </w:style>
  <w:style w:type="paragraph" w:styleId="WW">
    <w:name w:val="WW-Базовый"/>
    <w:qFormat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ru-RU" w:eastAsia="hi-IN" w:bidi="hi-IN"/>
    </w:rPr>
  </w:style>
  <w:style w:type="paragraph" w:styleId="BodyTextIndent3">
    <w:name w:val="Body Text Indent 3"/>
    <w:basedOn w:val="WW"/>
    <w:qFormat/>
    <w:pPr>
      <w:ind w:left="4678" w:right="0" w:hanging="0"/>
      <w:jc w:val="center"/>
      <w:textAlignment w:val="baseline"/>
    </w:pPr>
    <w:rPr>
      <w:sz w:val="28"/>
      <w:lang w:eastAsia="ru-RU"/>
    </w:rPr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jc w:val="center"/>
    </w:pPr>
    <w:rPr>
      <w:b/>
      <w:bCs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6">
    <w:name w:val="Обычный (веб)"/>
    <w:basedOn w:val="Normal"/>
    <w:qFormat/>
    <w:pPr>
      <w:spacing w:before="280" w:after="280"/>
    </w:pPr>
    <w:rPr>
      <w:sz w:val="24"/>
      <w:szCs w:val="24"/>
      <w:lang w:val="ru-RU"/>
    </w:rPr>
  </w:style>
  <w:style w:type="paragraph" w:styleId="Style27">
    <w:name w:val="Основной текст"/>
    <w:basedOn w:val="Normal"/>
    <w:qFormat/>
    <w:pPr>
      <w:spacing w:lineRule="auto" w:line="288" w:before="0" w:after="140"/>
    </w:pPr>
    <w:rPr/>
  </w:style>
  <w:style w:type="paragraph" w:styleId="Rvps12">
    <w:name w:val="rvps12"/>
    <w:basedOn w:val="Normal"/>
    <w:qFormat/>
    <w:pPr>
      <w:spacing w:before="280" w:after="280"/>
    </w:pPr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Application>LibreOffice/5.4.4.2$Windows_X86_64 LibreOffice_project/2524958677847fb3bb44820e40380acbe820f960</Application>
  <Pages>5</Pages>
  <Words>943</Words>
  <Characters>6359</Characters>
  <CharactersWithSpaces>7238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2020-10-27T17:50:00Z</dcterms:created>
  <dc:creator>kadr2</dc:creator>
  <dc:description/>
  <dc:language>uk-UA</dc:language>
  <cp:lastModifiedBy/>
  <cp:lastPrinted>1995-11-21T17:41:00Z</cp:lastPrinted>
  <dcterms:modified xsi:type="dcterms:W3CDTF">2021-12-16T13:47:08Z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