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W w:w="9738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3"/>
        <w:gridCol w:w="4368"/>
      </w:tblGrid>
      <w:tr>
        <w:trPr/>
        <w:tc>
          <w:tcPr>
            <w:tcW w:w="3047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3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8" w:type="dxa"/>
            <w:tcBorders/>
            <w:shd w:fill="FFFFFF" w:val="clear"/>
          </w:tcPr>
          <w:p>
            <w:pPr>
              <w:pStyle w:val="Normal"/>
              <w:spacing w:lineRule="auto" w:line="240" w:before="0" w:after="0"/>
              <w:ind w:left="-108" w:right="-284" w:hanging="0"/>
              <w:rPr>
                <w:rFonts w:eastAsia="Times New Roman" w:cs="Times New Roman"/>
                <w:b w:val="false"/>
                <w:b w:val="false"/>
                <w:bCs w:val="false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Наказ Головного управління Пенсійного фонду України в Рівненській області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17.12.2021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 xml:space="preserve"> №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1309</w:t>
            </w:r>
          </w:p>
          <w:p>
            <w:pPr>
              <w:pStyle w:val="Normal"/>
              <w:spacing w:lineRule="auto" w:line="240" w:before="0" w:after="0"/>
              <w:ind w:left="0" w:right="-284" w:hanging="0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головного спеціаліста відділу з ретроконверсії № 1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управління з ретроконверсії </w:t>
      </w: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 xml:space="preserve">(віддалене робоче місце </w:t>
      </w:r>
    </w:p>
    <w:p>
      <w:pPr>
        <w:pStyle w:val="Normal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 xml:space="preserve">місто Рівне, вул. Яворницького, 34)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75" w:type="dxa"/>
        <w:jc w:val="left"/>
        <w:tblInd w:w="4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46" w:type="dxa"/>
        </w:tblCellMar>
      </w:tblPr>
      <w:tblGrid>
        <w:gridCol w:w="507"/>
        <w:gridCol w:w="2318"/>
        <w:gridCol w:w="591"/>
        <w:gridCol w:w="6259"/>
      </w:tblGrid>
      <w:tr>
        <w:trPr>
          <w:trHeight w:val="354" w:hRule="atLeast"/>
        </w:trPr>
        <w:tc>
          <w:tcPr>
            <w:tcW w:w="967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4" w:type="dxa"/>
              <w:right w:w="55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4" w:type="dxa"/>
              <w:right w:w="55" w:type="dxa"/>
            </w:tcMar>
          </w:tcPr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перевірка наявності пенсійної справи в підсистемі ІКІС ПФУ “Централізованій системі призначення та виплати пенсій”;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підготовка пенсійної справи до процесу “Сканування”, “Кадрування”, “Документування”;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забезпечення сканування, кадрування та документування усіх паперових документів, що наявні в матеріалах паперової пенсійної справи. - аналіз якості сформованих сканів, кадрів та документів;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забезпечення відправлення відсканованих, відкадрованих зображень на сервер Центру ретроспективної конверсії, а також підписання відсканованих образів документів засобами електронного цифрового підпису та відправлення пенсійної справи в центральний електронний архів;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участь у здійсненні заходів щодо реалізації завдань, визначених Стратегією модернізації та розвитку Пенсійного фонду України щодо оцифрування пенсійних справ;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проведення іншої роботи направленої на забезпечення виконання Положення про управління.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Style23"/>
              <w:jc w:val="both"/>
              <w:rPr/>
            </w:pPr>
            <w:bookmarkStart w:id="0" w:name="__DdeLink__2354_3190848176"/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 w:eastAsia="zh-CN" w:bidi="ar-SA"/>
              </w:rPr>
              <w:t xml:space="preserve">безстроково </w:t>
            </w:r>
            <w:bookmarkEnd w:id="0"/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 w:eastAsia="zh-CN" w:bidi="ar-SA"/>
              </w:rPr>
              <w:t>(строк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Rvps12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bCs w:val="false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додатком 2</w:t>
            </w:r>
            <w:r>
              <w:fldChar w:fldCharType="end"/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-1</w:t>
            </w:r>
            <w:r>
              <w:fldChar w:fldCharType="end"/>
            </w: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1" w:name="n1172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прізвище, ім’я, по батькові кандидата;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2" w:name="n1173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3" w:name="n1174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</w:pPr>
            <w:bookmarkStart w:id="4" w:name="n11761"/>
            <w:bookmarkEnd w:id="4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3</w:t>
            </w:r>
            <w:r>
              <w:rPr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u w:val="none"/>
                <w:lang w:val="uk-UA"/>
              </w:rPr>
              <w:t>-1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15 год. 00 хв.           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31 грудня 2021 року.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3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</w:t>
            </w:r>
          </w:p>
          <w:p>
            <w:pPr>
              <w:pStyle w:val="Style23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3"/>
              <w:spacing w:before="0" w:after="0"/>
              <w:ind w:left="0" w:right="0" w:hanging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Style26"/>
              <w:spacing w:before="0" w:after="0"/>
              <w:ind w:left="0" w:right="0" w:hanging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  <w:lang w:val="en-US"/>
              </w:rPr>
              <w:t>11</w:t>
            </w:r>
            <w:r>
              <w:rPr>
                <w:sz w:val="28"/>
                <w:szCs w:val="28"/>
              </w:rPr>
              <w:t xml:space="preserve"> січня 2022 року 09 год. 00 хв.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bookmarkStart w:id="5" w:name="__DdeLink__14942_3241170014"/>
            <w:bookmarkEnd w:id="5"/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bookmarkStart w:id="6" w:name="__DdeLink__14942_32411700141"/>
            <w:bookmarkStart w:id="7" w:name="__DdeLink__14942_32411700141"/>
            <w:bookmarkEnd w:id="7"/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Style23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3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3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67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Style23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Вища,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snapToGrid w:val="false"/>
              <w:ind w:left="171" w:right="152" w:hanging="171"/>
              <w:rPr>
                <w:rFonts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ind w:left="171" w:right="152" w:hanging="17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67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widowControl/>
              <w:suppressLineNumbers/>
              <w:suppressAutoHyphens w:val="true"/>
              <w:bidi w:val="0"/>
              <w:snapToGrid w:val="false"/>
              <w:ind w:left="0" w:right="0" w:hanging="0"/>
              <w:jc w:val="left"/>
              <w:rPr/>
            </w:pPr>
            <w:r>
              <w:rPr>
                <w:rStyle w:val="Style14"/>
                <w:rFonts w:cs="Times New Roman"/>
                <w:b/>
                <w:bCs/>
                <w:i w:val="false"/>
                <w:sz w:val="28"/>
                <w:szCs w:val="28"/>
                <w:lang w:val="uk-UA" w:eastAsia="zh-CN" w:bidi="hi-IN"/>
              </w:rPr>
              <w:t>Цифрова грамотність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обов’язків; вміти користуватися кваліфікованим електронним підписом (КЕП)</w:t>
            </w:r>
          </w:p>
        </w:tc>
      </w:tr>
      <w:tr>
        <w:trPr/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 w:eastAsia="zh-CN" w:bidi="hi-IN"/>
              </w:rPr>
              <w:t>Командна робота та взаємодія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розуміння ваги свого внеску у загальний результат (структурного підрозділу/державного органу);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орієнтація на командний результат;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готовність працювати в команді та сприяти колегам у їх професійній діяльності задля досягнення цілей;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відкритість в обміні інформацією</w:t>
            </w:r>
          </w:p>
        </w:tc>
      </w:tr>
      <w:tr>
        <w:trPr/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Управління організацією роботи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бачення цілі;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управління ресурсами;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планування реалізації;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формування та управління процесами</w:t>
            </w:r>
          </w:p>
        </w:tc>
      </w:tr>
      <w:tr>
        <w:trPr/>
        <w:tc>
          <w:tcPr>
            <w:tcW w:w="967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Знання:</w:t>
            </w:r>
          </w:p>
          <w:p>
            <w:pPr>
              <w:pStyle w:val="Normal"/>
              <w:ind w:left="165" w:right="165" w:hanging="18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Конституції України;</w:t>
            </w:r>
          </w:p>
          <w:p>
            <w:pPr>
              <w:pStyle w:val="Normal"/>
              <w:ind w:left="165" w:right="165" w:hanging="18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snapToGrid w:val="false"/>
              <w:ind w:left="165" w:right="165" w:hanging="165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4" w:type="dxa"/>
              <w:right w:w="55" w:type="dxa"/>
            </w:tcMar>
          </w:tcPr>
          <w:p>
            <w:pPr>
              <w:pStyle w:val="Style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4" w:type="dxa"/>
              <w:right w:w="55" w:type="dxa"/>
            </w:tcMar>
          </w:tcPr>
          <w:p>
            <w:pPr>
              <w:pStyle w:val="Style26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34" w:type="dxa"/>
              <w:right w:w="55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загальнообов’язкове державне пенсійне страхування”;</w:t>
            </w:r>
          </w:p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пенсійне забезпечення”;</w:t>
            </w:r>
          </w:p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bookmarkStart w:id="8" w:name="__DdeLink__4680_25888853491"/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“</w:t>
            </w:r>
            <w:bookmarkEnd w:id="8"/>
            <w:r>
              <w:rPr>
                <w:rFonts w:cs="Times New Roman"/>
                <w:sz w:val="28"/>
                <w:szCs w:val="28"/>
                <w:lang w:val="uk-UA"/>
              </w:rPr>
              <w:t>Про збір на обов</w:t>
            </w:r>
            <w:r>
              <w:rPr>
                <w:rFonts w:cs="Times New Roman"/>
                <w:sz w:val="28"/>
                <w:szCs w:val="28"/>
                <w:lang w:val="ru-RU"/>
              </w:rPr>
              <w:t>'</w:t>
            </w:r>
            <w:r>
              <w:rPr>
                <w:rFonts w:cs="Times New Roman"/>
                <w:sz w:val="28"/>
                <w:szCs w:val="28"/>
                <w:lang w:val="uk-UA"/>
              </w:rPr>
              <w:t>язкове державне пенсійне страхування”;</w:t>
            </w:r>
          </w:p>
          <w:p>
            <w:pPr>
              <w:pStyle w:val="Normal"/>
              <w:widowControl/>
              <w:suppressAutoHyphens w:val="true"/>
              <w:bidi w:val="0"/>
              <w:ind w:left="0" w:right="17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 xml:space="preserve">- Порядку 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 xml:space="preserve">подання та оформлення документів для призначення (перерахунку) пенсій відповідно до Закону України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>Про загальнообов'язкове державне пенсійне страхування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”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затвердженого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Постановою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 xml:space="preserve"> правління Пенсійного фонду України 25.11.2005 р. № 22-1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567" w:header="0" w:top="600" w:footer="0" w:bottom="578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6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Style11">
    <w:name w:val="Символ нумерации"/>
    <w:qFormat/>
    <w:rPr/>
  </w:style>
  <w:style w:type="character" w:styleId="Style12">
    <w:name w:val="Текст выноски Знак"/>
    <w:basedOn w:val="DefaultParagraphFont"/>
    <w:qFormat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Гіперпосилання"/>
    <w:rPr>
      <w:color w:val="000080"/>
      <w:u w:val="single"/>
      <w:lang w:val="zxx" w:eastAsia="zxx" w:bidi="zxx"/>
    </w:rPr>
  </w:style>
  <w:style w:type="character" w:styleId="Style14">
    <w:name w:val="Виділення"/>
    <w:qFormat/>
    <w:rPr>
      <w:i/>
      <w:iCs/>
    </w:rPr>
  </w:style>
  <w:style w:type="character" w:styleId="WW">
    <w:name w:val="WW-Гіперпосилання"/>
    <w:qFormat/>
    <w:rPr>
      <w:color w:val="000080"/>
      <w:u w:val="single"/>
      <w:lang w:val="zxx" w:eastAsia="zxx" w:bidi="zxx"/>
    </w:rPr>
  </w:style>
  <w:style w:type="character" w:styleId="WW1">
    <w:name w:val="WW-Виділення"/>
    <w:qFormat/>
    <w:rPr>
      <w:i/>
      <w:iCs/>
    </w:rPr>
  </w:style>
  <w:style w:type="character" w:styleId="Style15">
    <w:name w:val="Маркери списку"/>
    <w:qFormat/>
    <w:rPr>
      <w:rFonts w:ascii="OpenSymbol;Arial Unicode MS" w:hAnsi="OpenSymbol;Arial Unicode MS" w:eastAsia="OpenSymbol;Arial Unicode MS" w:cs="OpenSymbol;Arial Unicode MS"/>
    </w:rPr>
  </w:style>
  <w:style w:type="character" w:styleId="ListLabel1">
    <w:name w:val="ListLabel 1"/>
    <w:qFormat/>
    <w:rPr>
      <w:rFonts w:cs="OpenSymbol;Arial Unicode MS"/>
    </w:rPr>
  </w:style>
  <w:style w:type="character" w:styleId="ListLabel2">
    <w:name w:val="ListLabel 2"/>
    <w:qFormat/>
    <w:rPr>
      <w:rFonts w:cs="OpenSymbol;Arial Unicode MS"/>
    </w:rPr>
  </w:style>
  <w:style w:type="character" w:styleId="ListLabel3">
    <w:name w:val="ListLabel 3"/>
    <w:qFormat/>
    <w:rPr>
      <w:rFonts w:cs="OpenSymbol;Arial Unicode MS"/>
    </w:rPr>
  </w:style>
  <w:style w:type="character" w:styleId="ListLabel4">
    <w:name w:val="ListLabel 4"/>
    <w:qFormat/>
    <w:rPr>
      <w:rFonts w:cs="OpenSymbol;Arial Unicode MS"/>
    </w:rPr>
  </w:style>
  <w:style w:type="character" w:styleId="ListLabel5">
    <w:name w:val="ListLabel 5"/>
    <w:qFormat/>
    <w:rPr>
      <w:rFonts w:cs="OpenSymbol;Arial Unicode MS"/>
    </w:rPr>
  </w:style>
  <w:style w:type="character" w:styleId="ListLabel6">
    <w:name w:val="ListLabel 6"/>
    <w:qFormat/>
    <w:rPr>
      <w:rFonts w:cs="OpenSymbol;Arial Unicode MS"/>
    </w:rPr>
  </w:style>
  <w:style w:type="character" w:styleId="ListLabel7">
    <w:name w:val="ListLabel 7"/>
    <w:qFormat/>
    <w:rPr>
      <w:rFonts w:cs="OpenSymbol;Arial Unicode MS"/>
    </w:rPr>
  </w:style>
  <w:style w:type="character" w:styleId="ListLabel8">
    <w:name w:val="ListLabel 8"/>
    <w:qFormat/>
    <w:rPr>
      <w:rFonts w:cs="OpenSymbol;Arial Unicode MS"/>
    </w:rPr>
  </w:style>
  <w:style w:type="character" w:styleId="ListLabel9">
    <w:name w:val="ListLabel 9"/>
    <w:qFormat/>
    <w:rPr>
      <w:rFonts w:cs="OpenSymbol;Arial Unicode MS"/>
    </w:rPr>
  </w:style>
  <w:style w:type="character" w:styleId="ListLabel10">
    <w:name w:val="ListLabel 10"/>
    <w:qFormat/>
    <w:rPr>
      <w:rFonts w:ascii="Times New Roman" w:hAnsi="Times New Roman"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1">
    <w:name w:val="ListLabel 11"/>
    <w:qFormat/>
    <w:rPr>
      <w:rFonts w:ascii="Times New Roman" w:hAnsi="Times New Roman" w:cs="Times New Roman"/>
      <w:b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2">
    <w:name w:val="ListLabel 12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3">
    <w:name w:val="ListLabel 13"/>
    <w:qFormat/>
    <w:rPr>
      <w:b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4">
    <w:name w:val="ListLabel 14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5">
    <w:name w:val="ListLabel 15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6">
    <w:name w:val="ListLabel 16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left="0" w:right="-6" w:hanging="0"/>
      <w:jc w:val="center"/>
    </w:pPr>
    <w:rPr>
      <w:b/>
      <w:sz w:val="28"/>
      <w:szCs w:val="20"/>
      <w:lang w:val="ru-RU"/>
    </w:rPr>
  </w:style>
  <w:style w:type="paragraph" w:styleId="Style23">
    <w:name w:val="Содержимое таблицы"/>
    <w:basedOn w:val="Normal"/>
    <w:qFormat/>
    <w:pPr>
      <w:suppressLineNumbers/>
    </w:pPr>
    <w:rPr/>
  </w:style>
  <w:style w:type="paragraph" w:styleId="Style24">
    <w:name w:val="Заголовок таблицы"/>
    <w:basedOn w:val="Style23"/>
    <w:qFormat/>
    <w:pPr>
      <w:jc w:val="center"/>
    </w:pPr>
    <w:rPr>
      <w:b/>
      <w:bCs/>
    </w:rPr>
  </w:style>
  <w:style w:type="paragraph" w:styleId="Style25">
    <w:name w:val="Body Text Indent"/>
    <w:basedOn w:val="Normal"/>
    <w:pPr>
      <w:spacing w:before="0" w:after="120"/>
      <w:ind w:left="283" w:right="0" w:hanging="0"/>
    </w:pPr>
    <w:rPr/>
  </w:style>
  <w:style w:type="paragraph" w:styleId="WW2">
    <w:name w:val="WW-Базовый"/>
    <w:qFormat/>
    <w:pPr>
      <w:widowControl w:val="false"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hi-IN" w:bidi="hi-IN"/>
    </w:rPr>
  </w:style>
  <w:style w:type="paragraph" w:styleId="BodyTextIndent3">
    <w:name w:val="Body Text Indent 3"/>
    <w:basedOn w:val="WW2"/>
    <w:qFormat/>
    <w:pPr>
      <w:ind w:left="4678" w:right="0" w:hanging="0"/>
      <w:jc w:val="center"/>
      <w:textAlignment w:val="baseline"/>
    </w:pPr>
    <w:rPr>
      <w:sz w:val="28"/>
      <w:lang w:eastAsia="ru-RU"/>
    </w:rPr>
  </w:style>
  <w:style w:type="paragraph" w:styleId="Style26">
    <w:name w:val="Вміст таблиці"/>
    <w:basedOn w:val="Normal"/>
    <w:qFormat/>
    <w:pPr>
      <w:suppressLineNumbers/>
    </w:pPr>
    <w:rPr/>
  </w:style>
  <w:style w:type="paragraph" w:styleId="Style27">
    <w:name w:val="Заголовок таблиці"/>
    <w:basedOn w:val="Style26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8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Application>LibreOffice/5.4.4.2$Windows_X86_64 LibreOffice_project/2524958677847fb3bb44820e40380acbe820f960</Application>
  <Pages>4</Pages>
  <Words>822</Words>
  <Characters>5542</Characters>
  <CharactersWithSpaces>6302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2020-10-27T16:50:00Z</dcterms:created>
  <dc:creator>kadr2</dc:creator>
  <dc:description/>
  <dc:language>uk-UA</dc:language>
  <cp:lastModifiedBy/>
  <cp:lastPrinted>2021-08-27T15:39:33Z</cp:lastPrinted>
  <dcterms:modified xsi:type="dcterms:W3CDTF">2021-12-17T13:51:43Z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