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</w:r>
    </w:p>
    <w:tbl>
      <w:tblPr>
        <w:tblW w:w="9738" w:type="dxa"/>
        <w:jc w:val="center"/>
        <w:tblInd w:w="0" w:type="dxa"/>
        <w:tblBorders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47"/>
        <w:gridCol w:w="2323"/>
        <w:gridCol w:w="4368"/>
      </w:tblGrid>
      <w:tr>
        <w:trPr/>
        <w:tc>
          <w:tcPr>
            <w:tcW w:w="3047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2323" w:type="dxa"/>
            <w:tcBorders/>
            <w:shd w:fill="FFFFFF" w:val="clear"/>
          </w:tcPr>
          <w:p>
            <w:pPr>
              <w:pStyle w:val="Normal"/>
              <w:snapToGrid w:val="false"/>
              <w:spacing w:lineRule="auto" w:line="240" w:before="0" w:after="0"/>
              <w:ind w:left="0" w:right="-284" w:hanging="0"/>
              <w:jc w:val="both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  <w:tc>
          <w:tcPr>
            <w:tcW w:w="4368" w:type="dxa"/>
            <w:tcBorders/>
            <w:shd w:fill="FFFFFF" w:val="clear"/>
          </w:tcPr>
          <w:p>
            <w:pPr>
              <w:pStyle w:val="Normal"/>
              <w:spacing w:lineRule="auto" w:line="240" w:before="0" w:after="0"/>
              <w:ind w:left="-108" w:right="-284" w:hanging="0"/>
              <w:rPr>
                <w:rFonts w:eastAsia="Times New Roman" w:cs="Times New Roman"/>
                <w:b w:val="false"/>
                <w:b w:val="false"/>
                <w:bCs w:val="false"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ЗАТВЕРДЖЕНО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>Наказ Головного управління Пенсійного фонду України в Рівненській області</w:t>
            </w:r>
          </w:p>
          <w:p>
            <w:pPr>
              <w:pStyle w:val="Normal"/>
              <w:spacing w:lineRule="auto" w:line="240" w:before="0" w:after="0"/>
              <w:ind w:left="-108" w:right="-284" w:hanging="0"/>
              <w:rPr/>
            </w:pP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>17.12.2021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lang w:eastAsia="uk-UA"/>
              </w:rPr>
              <w:t xml:space="preserve"> № </w:t>
            </w:r>
            <w:r>
              <w:rPr>
                <w:rFonts w:eastAsia="Times New Roman" w:cs="Times New Roman"/>
                <w:b w:val="false"/>
                <w:bCs w:val="false"/>
                <w:color w:val="2A2928"/>
                <w:sz w:val="28"/>
                <w:szCs w:val="28"/>
                <w:u w:val="single"/>
                <w:lang w:eastAsia="uk-UA"/>
              </w:rPr>
              <w:t>1309</w:t>
            </w:r>
          </w:p>
          <w:p>
            <w:pPr>
              <w:pStyle w:val="Normal"/>
              <w:spacing w:lineRule="auto" w:line="240" w:before="0" w:after="0"/>
              <w:ind w:left="0" w:right="-284" w:hanging="0"/>
              <w:rPr>
                <w:rFonts w:eastAsia="Times New Roman" w:cs="Times New Roman"/>
                <w:b/>
                <w:b/>
                <w:bCs/>
                <w:color w:val="2A2928"/>
                <w:sz w:val="28"/>
                <w:szCs w:val="28"/>
                <w:lang w:eastAsia="uk-UA"/>
              </w:rPr>
            </w:pPr>
            <w:r>
              <w:rPr>
                <w:rFonts w:eastAsia="Times New Roman" w:cs="Times New Roman"/>
                <w:b/>
                <w:bCs/>
                <w:color w:val="2A2928"/>
                <w:sz w:val="28"/>
                <w:szCs w:val="28"/>
                <w:lang w:eastAsia="uk-UA"/>
              </w:rPr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УМОВИ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проведення конкурсу на зайняття посади державної служби категорії “В” - головного спеціаліста відділу з ретроконверсії № 1 </w:t>
      </w:r>
    </w:p>
    <w:p>
      <w:pPr>
        <w:pStyle w:val="Normal"/>
        <w:jc w:val="center"/>
        <w:rPr/>
      </w:pPr>
      <w:r>
        <w:rPr>
          <w:b/>
          <w:bCs/>
          <w:sz w:val="28"/>
          <w:szCs w:val="28"/>
        </w:rPr>
        <w:t xml:space="preserve">управління з ретроконверсії, строково, на період відсутності основного працівника </w:t>
      </w:r>
      <w:r>
        <w:rPr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uk-UA" w:eastAsia="zh-CN" w:bidi="ar-SA"/>
        </w:rPr>
        <w:t xml:space="preserve">(віддалене робоче місце </w:t>
      </w:r>
    </w:p>
    <w:p>
      <w:pPr>
        <w:pStyle w:val="Normal"/>
        <w:jc w:val="center"/>
        <w:rPr/>
      </w:pPr>
      <w:r>
        <w:rPr>
          <w:rFonts w:eastAsia="Times New Roman" w:cs="Times New Roman"/>
          <w:b/>
          <w:bCs/>
          <w:i w:val="false"/>
          <w:iCs w:val="false"/>
          <w:strike w:val="false"/>
          <w:dstrike w:val="false"/>
          <w:outline w:val="false"/>
          <w:shadow w:val="false"/>
          <w:color w:val="000000"/>
          <w:sz w:val="28"/>
          <w:szCs w:val="28"/>
          <w:u w:val="none"/>
          <w:em w:val="none"/>
          <w:lang w:val="uk-UA" w:eastAsia="zh-CN" w:bidi="ar-SA"/>
        </w:rPr>
        <w:t xml:space="preserve">місто Рівне, вул. Яворницького, 34) </w:t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tbl>
      <w:tblPr>
        <w:tblW w:w="9675" w:type="dxa"/>
        <w:jc w:val="left"/>
        <w:tblInd w:w="4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55" w:type="dxa"/>
          <w:left w:w="-2" w:type="dxa"/>
          <w:bottom w:w="55" w:type="dxa"/>
          <w:right w:w="46" w:type="dxa"/>
        </w:tblCellMar>
      </w:tblPr>
      <w:tblGrid>
        <w:gridCol w:w="506"/>
        <w:gridCol w:w="2319"/>
        <w:gridCol w:w="591"/>
        <w:gridCol w:w="6259"/>
      </w:tblGrid>
      <w:tr>
        <w:trPr>
          <w:trHeight w:val="354" w:hRule="atLeast"/>
        </w:trPr>
        <w:tc>
          <w:tcPr>
            <w:tcW w:w="967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Загальні умови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28" w:type="dxa"/>
              <w:right w:w="55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Посадові обов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язки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28" w:type="dxa"/>
              <w:right w:w="55" w:type="dxa"/>
            </w:tcMar>
          </w:tcPr>
          <w:p>
            <w:pPr>
              <w:pStyle w:val="Style28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highlight w:val="white"/>
                <w:lang w:val="uk-UA" w:eastAsia="zh-CN" w:bidi="ar-SA"/>
              </w:rPr>
              <w:t>- перевірка наявності пенсійної справи в підсистемі ІКІС ПФУ “Централізованій системі призначення та виплати пенсій”;</w:t>
            </w:r>
          </w:p>
          <w:p>
            <w:pPr>
              <w:pStyle w:val="Style28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highlight w:val="white"/>
                <w:lang w:val="uk-UA" w:eastAsia="zh-CN" w:bidi="ar-SA"/>
              </w:rPr>
              <w:t>- підготовка пенсійної справи до процесу “Сканування”, “Кадрування”, “Документування”;</w:t>
            </w:r>
          </w:p>
          <w:p>
            <w:pPr>
              <w:pStyle w:val="Style28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highlight w:val="white"/>
                <w:lang w:val="uk-UA" w:eastAsia="zh-CN" w:bidi="ar-SA"/>
              </w:rPr>
              <w:t>- забезпечення сканування, кадрування та документування усіх паперових документів, що наявні в матеріалах паперової пенсійної справи. - аналіз якості сформованих сканів, кадрів та документів;</w:t>
            </w:r>
          </w:p>
          <w:p>
            <w:pPr>
              <w:pStyle w:val="Style28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highlight w:val="white"/>
                <w:lang w:val="uk-UA" w:eastAsia="zh-CN" w:bidi="ar-SA"/>
              </w:rPr>
              <w:t>- забезпечення відправлення відсканованих, відкадрованих зображень на сервер Центру ретроспективної конверсії, а також підписання відсканованих образів документів засобами електронного цифрового підпису та відправлення пенсійної справи в центральний електронний архів;</w:t>
            </w:r>
          </w:p>
          <w:p>
            <w:pPr>
              <w:pStyle w:val="Style28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highlight w:val="white"/>
                <w:lang w:val="uk-UA" w:eastAsia="zh-CN" w:bidi="ar-SA"/>
              </w:rPr>
              <w:t>- участь у здійсненні заходів щодо реалізації завдань, визначених Стратегією модернізації та розвитку Пенсійного фонду України щодо оцифрування пенсійних справ;</w:t>
            </w:r>
          </w:p>
          <w:p>
            <w:pPr>
              <w:pStyle w:val="Style28"/>
              <w:widowControl/>
              <w:suppressAutoHyphens w:val="true"/>
              <w:overflowPunct w:val="false"/>
              <w:bidi w:val="0"/>
              <w:spacing w:lineRule="auto" w:line="240" w:before="0" w:after="0"/>
              <w:jc w:val="both"/>
              <w:rPr/>
            </w:pPr>
            <w:r>
              <w:rPr>
                <w:rStyle w:val="FontStyle15"/>
                <w:sz w:val="28"/>
                <w:szCs w:val="28"/>
                <w:highlight w:val="white"/>
                <w:lang w:val="uk-UA" w:eastAsia="zh-CN" w:bidi="ar-SA"/>
              </w:rPr>
              <w:t>- проведення іншої роботи направленої на забезпечення виконання Положення про управління.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both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Умови оплати праці 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spacing w:lineRule="auto" w:line="24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посадовий оклад — 55</w:t>
            </w:r>
            <w:r>
              <w:rPr>
                <w:rFonts w:cs="Times New Roman"/>
                <w:i w:val="false"/>
                <w:iCs w:val="false"/>
                <w:sz w:val="28"/>
                <w:szCs w:val="28"/>
                <w:lang w:val="uk-UA" w:eastAsia="zh-CN" w:bidi="hi-IN"/>
              </w:rPr>
              <w:t>00</w:t>
            </w: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 xml:space="preserve"> грн., надбавки, доплати, премії та компенсації відповідно до статті 52 Закону України “Про державну службу”; надбавка до посадового окладу за ранг відповідно до постанови Кабінету Міністрів України від 18 січня 2017 року № 15 “Питання оплати праці працівників державних органів” (із змінами).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Інформація про строковість чи безстроковість призначення на посаду  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Style23"/>
              <w:jc w:val="both"/>
              <w:rPr/>
            </w:pPr>
            <w:r>
              <w:rPr>
                <w:rFonts w:eastAsia="Times New Roman" w:cs="Times New Roman"/>
                <w:b w:val="false"/>
                <w:bCs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8"/>
                <w:szCs w:val="28"/>
                <w:u w:val="none"/>
                <w:em w:val="none"/>
                <w:lang w:val="uk-UA" w:eastAsia="zh-CN" w:bidi="ar-SA"/>
              </w:rPr>
              <w:t>строково, на період відсутності основного  працівника. Строк призначення особи, яка досягла 65-річного віку, становить один рік з правом повторного призначення без обов’язкового проведення конкурсу щороку)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rFonts w:cs="Times New Roman"/>
                <w:b/>
                <w:b/>
                <w:bCs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Перелік інформації, необхідної для участі в конкурсі, та строк її подання 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Rvps12"/>
              <w:spacing w:lineRule="auto" w:line="240" w:before="0" w:after="0"/>
              <w:jc w:val="both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1) заяву про участь у конкурсі із зазначенням основних мотивів щодо зайняття посади за формою згідно з додатком 2 до Порядку проведення конкурсу на зайняття посад державної служби, затвердженого постановою Кабінету Міністрів України від 25 березня 2016 р. № 246 (зі змінами);</w:t>
            </w:r>
          </w:p>
          <w:p>
            <w:pPr>
              <w:pStyle w:val="Rvps12"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rFonts w:cs="Times New Roman"/>
                <w:b w:val="false"/>
                <w:bCs w:val="false"/>
                <w:color w:val="000000"/>
                <w:sz w:val="28"/>
                <w:szCs w:val="28"/>
                <w:lang w:val="uk-UA"/>
              </w:rPr>
              <w:t>2) рез</w:t>
            </w:r>
            <w:r>
              <w:rPr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юме за формою згідно з </w:t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WW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додатком 2</w:t>
            </w:r>
            <w:r>
              <w:fldChar w:fldCharType="end"/>
            </w:r>
            <w:r>
              <w:fldChar w:fldCharType="begin"/>
            </w:r>
            <w:r>
              <w:instrText> HYPERLINK "https://zakon.rada.gov.ua/laws/show/246-2016-п/print" \l "n1039"</w:instrText>
            </w:r>
            <w:r>
              <w:fldChar w:fldCharType="separate"/>
            </w:r>
            <w:r>
              <w:rPr>
                <w:rStyle w:val="WW"/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-1</w:t>
            </w:r>
            <w:r>
              <w:fldChar w:fldCharType="end"/>
            </w:r>
            <w:r>
              <w:rPr>
                <w:b w:val="false"/>
                <w:bCs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, в якому обов’язково зазначається така інформація: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0" w:name="n11721"/>
            <w:bookmarkEnd w:id="0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прізвище, ім’я, по батькові кандидата;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1" w:name="n11731"/>
            <w:bookmarkEnd w:id="1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реквізити документа, що посвідчує особу та підтверджує громадянство України;</w:t>
            </w:r>
          </w:p>
          <w:p>
            <w:pPr>
              <w:pStyle w:val="Style17"/>
              <w:widowControl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</w:pPr>
            <w:bookmarkStart w:id="2" w:name="n11741"/>
            <w:bookmarkEnd w:id="2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</w:rPr>
              <w:t>підтвердження наявності відповідного ступеня вищої освіти;</w:t>
            </w:r>
          </w:p>
          <w:p>
            <w:pPr>
              <w:pStyle w:val="Rvps12"/>
              <w:numPr>
                <w:ilvl w:val="0"/>
                <w:numId w:val="0"/>
              </w:numPr>
              <w:spacing w:lineRule="auto" w:line="240" w:before="0" w:after="0"/>
              <w:ind w:left="720" w:right="0" w:hanging="0"/>
              <w:jc w:val="both"/>
              <w:rPr>
                <w:b w:val="false"/>
                <w:b w:val="false"/>
                <w:i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</w:pPr>
            <w:bookmarkStart w:id="3" w:name="n11761"/>
            <w:bookmarkEnd w:id="3"/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відомості про стаж роботи, стаж державної служби (за наявності), досвід роботи на відповідних посадах у відповідній сфері, визначеній в умовах конкурсу, та на керівних посадах (за наявності відповідних вимог)</w:t>
            </w:r>
          </w:p>
          <w:p>
            <w:pPr>
              <w:pStyle w:val="Rvps12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3) з</w:t>
            </w:r>
            <w:r>
              <w:rPr>
                <w:rFonts w:cs="Times New Roman"/>
                <w:color w:val="000000"/>
                <w:sz w:val="28"/>
                <w:szCs w:val="28"/>
              </w:rPr>
              <w:t>аяву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, в якій повідомляє, що до неї не застосовуються заборони, визначені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частиною третьою</w:t>
            </w:r>
            <w:r>
              <w:rPr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 xml:space="preserve"> або </w:t>
            </w:r>
            <w:r>
              <w:rPr>
                <w:rStyle w:val="Style13"/>
                <w:rFonts w:cs="Times New Roman"/>
                <w:color w:val="000000"/>
                <w:sz w:val="28"/>
                <w:szCs w:val="28"/>
                <w:u w:val="none"/>
                <w:lang w:val="uk-UA" w:eastAsia="zh-CN" w:bidi="hi-IN"/>
              </w:rPr>
              <w:t>четвертою</w:t>
            </w: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 статті 1 Закону України “Про очищення влади”, та надає згоду на проходження перевірки та на оприлюднення відомостей стосовно неї відповідно до зазначеного Закону;</w:t>
            </w:r>
          </w:p>
          <w:p>
            <w:pPr>
              <w:pStyle w:val="Rvps12"/>
              <w:spacing w:lineRule="auto" w:line="240" w:before="0" w:after="0"/>
              <w:jc w:val="both"/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>Подача додатків до заяви не є обов’язковою.</w:t>
            </w:r>
          </w:p>
          <w:p>
            <w:pPr>
              <w:pStyle w:val="Style17"/>
              <w:widowControl/>
              <w:spacing w:lineRule="auto" w:line="240" w:before="0" w:after="0"/>
              <w:ind w:left="0" w:right="0" w:hanging="0"/>
              <w:jc w:val="both"/>
              <w:rPr/>
            </w:pP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3</w:t>
            </w:r>
            <w:r>
              <w:rPr>
                <w:b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16"/>
                <w:u w:val="none"/>
                <w:lang w:val="uk-UA"/>
              </w:rPr>
              <w:t>-1</w:t>
            </w:r>
            <w:r>
              <w:rPr>
                <w:b w:val="false"/>
                <w:i w:val="false"/>
                <w:caps w:val="false"/>
                <w:smallCaps w:val="false"/>
                <w:strike w:val="false"/>
                <w:dstrike w:val="false"/>
                <w:color w:val="000000"/>
                <w:spacing w:val="0"/>
                <w:sz w:val="28"/>
                <w:u w:val="none"/>
                <w:lang w:val="uk-UA"/>
              </w:rPr>
              <w:t>) копію Державного сертифіката про рівень володіння державною мовою (витяг з реєстру Державних сертифікатів про рівень володіння державною мовою), що підтверджує рівень володіння державною мовою, визначений Національною комісією зі стандартів державної мови.</w:t>
            </w:r>
          </w:p>
          <w:p>
            <w:pPr>
              <w:pStyle w:val="Rvps12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Документи приймаються до 15 год. 00 хв.           </w:t>
            </w:r>
          </w:p>
          <w:p>
            <w:pPr>
              <w:pStyle w:val="Rvps12"/>
              <w:spacing w:lineRule="auto" w:line="240" w:before="0" w:after="0"/>
              <w:jc w:val="both"/>
              <w:rPr/>
            </w:pPr>
            <w:r>
              <w:rPr>
                <w:rFonts w:cs="Times New Roman"/>
                <w:color w:val="000000"/>
                <w:sz w:val="28"/>
                <w:szCs w:val="28"/>
                <w:lang w:val="uk-UA" w:eastAsia="zh-CN" w:bidi="hi-IN"/>
              </w:rPr>
              <w:t xml:space="preserve">31 грудня 2021 року. 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>Додаткові (необов’</w:t>
            </w:r>
            <w:r>
              <w:rPr>
                <w:b/>
                <w:bCs/>
                <w:sz w:val="28"/>
                <w:szCs w:val="28"/>
                <w:lang w:val="uk-UA"/>
              </w:rPr>
              <w:t>язкові) документи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заява щодо забезпечення розумним пристосуванням за формою згідно з додатком 3 до Порядку проведення конкурсу на зайняття посад державної служби</w:t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Дата і час початку проведення тестування кандидатів. </w:t>
            </w:r>
          </w:p>
          <w:p>
            <w:pPr>
              <w:pStyle w:val="Style23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Місце або спосіб проведення тестування.</w:t>
            </w:r>
          </w:p>
          <w:p>
            <w:pPr>
              <w:pStyle w:val="Style23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Style23"/>
              <w:jc w:val="left"/>
              <w:rPr/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>Місце або спосіб проведення співбесіди (із зазначенням електронної платформи для комунікації дистанційно)</w:t>
            </w:r>
          </w:p>
          <w:p>
            <w:pPr>
              <w:pStyle w:val="Style23"/>
              <w:spacing w:before="0" w:after="0"/>
              <w:ind w:left="0" w:right="0" w:hanging="0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</w:r>
          </w:p>
          <w:p>
            <w:pPr>
              <w:pStyle w:val="Style26"/>
              <w:spacing w:before="0" w:after="0"/>
              <w:ind w:left="0" w:right="0" w:hanging="0"/>
              <w:jc w:val="left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Місце або спосіб проведення співбесіди з метою визначення суб’єктом призначення або керівником державної служби переможця (переможців) конкурсу (із зазначенням електронної платформи для комунікації дистанційно)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Rvps12"/>
              <w:spacing w:before="0" w:after="0"/>
              <w:jc w:val="both"/>
              <w:rPr/>
            </w:pPr>
            <w:r>
              <w:rPr>
                <w:sz w:val="28"/>
                <w:szCs w:val="28"/>
                <w:lang w:val="en-US"/>
              </w:rPr>
              <w:t>11</w:t>
            </w:r>
            <w:r>
              <w:rPr>
                <w:sz w:val="28"/>
                <w:szCs w:val="28"/>
              </w:rPr>
              <w:t xml:space="preserve"> січня 2022 року 09 год. 00 хв.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тестування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bookmarkStart w:id="4" w:name="__DdeLink__14942_3241170014"/>
            <w:bookmarkEnd w:id="4"/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bookmarkStart w:id="5" w:name="__DdeLink__14942_32411700141"/>
            <w:bookmarkStart w:id="6" w:name="__DdeLink__14942_32411700141"/>
            <w:bookmarkEnd w:id="6"/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Рівне, вул. Короленка, 7 (проведення співбесіди за фізичної присутності кандидата)</w:t>
            </w:r>
          </w:p>
          <w:p>
            <w:pPr>
              <w:pStyle w:val="Rvps12"/>
              <w:spacing w:before="0" w:after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  <w:tr>
        <w:trPr/>
        <w:tc>
          <w:tcPr>
            <w:tcW w:w="3416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Прізвище, ім</w:t>
            </w:r>
            <w:r>
              <w:rPr>
                <w:rFonts w:cs="Times New Roman"/>
                <w:b/>
                <w:bCs/>
                <w:sz w:val="28"/>
                <w:szCs w:val="28"/>
                <w:lang w:val="en-US"/>
              </w:rPr>
              <w:t>'</w:t>
            </w: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я та по батькові, номер телефону та адреса електронної пошти особи, яка надає додаткову інформацію з питань добору з призначення на вакантну посаду</w:t>
            </w:r>
          </w:p>
        </w:tc>
        <w:tc>
          <w:tcPr>
            <w:tcW w:w="62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Style23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Ковальчук Світлана Олександрівна</w:t>
            </w:r>
          </w:p>
          <w:p>
            <w:pPr>
              <w:pStyle w:val="Style23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>м.т.: 0362-63-33-42</w:t>
            </w:r>
          </w:p>
          <w:p>
            <w:pPr>
              <w:pStyle w:val="Style23"/>
              <w:rPr>
                <w:rFonts w:cs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cs="Times New Roman"/>
                <w:color w:val="000000"/>
                <w:sz w:val="28"/>
                <w:szCs w:val="28"/>
                <w:lang w:val="uk-UA"/>
              </w:rPr>
              <w:t xml:space="preserve">kad@rv.pfu.gov.ua </w:t>
            </w:r>
          </w:p>
        </w:tc>
      </w:tr>
      <w:tr>
        <w:trPr>
          <w:trHeight w:val="358" w:hRule="atLeast"/>
        </w:trPr>
        <w:tc>
          <w:tcPr>
            <w:tcW w:w="967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Style23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Кваліфікаційні вимоги</w:t>
            </w:r>
          </w:p>
        </w:tc>
      </w:tr>
      <w:tr>
        <w:trPr/>
        <w:tc>
          <w:tcPr>
            <w:tcW w:w="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Освіта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Вища, не нижче ступеня молодшого бакалавра або бакалавра</w:t>
            </w:r>
          </w:p>
        </w:tc>
      </w:tr>
      <w:tr>
        <w:trPr>
          <w:trHeight w:val="673" w:hRule="atLeast"/>
        </w:trPr>
        <w:tc>
          <w:tcPr>
            <w:tcW w:w="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Досвід роботи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both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Не потребує</w:t>
            </w:r>
          </w:p>
        </w:tc>
      </w:tr>
      <w:tr>
        <w:trPr/>
        <w:tc>
          <w:tcPr>
            <w:tcW w:w="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Володіння державною мовою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  <w:vAlign w:val="center"/>
          </w:tcPr>
          <w:p>
            <w:pPr>
              <w:pStyle w:val="Normal"/>
              <w:snapToGrid w:val="false"/>
              <w:ind w:left="171" w:right="152" w:hanging="171"/>
              <w:rPr>
                <w:rFonts w:cs="Times New Roman"/>
                <w:sz w:val="12"/>
                <w:szCs w:val="12"/>
                <w:lang w:val="uk-UA"/>
              </w:rPr>
            </w:pPr>
            <w:r>
              <w:rPr>
                <w:rFonts w:cs="Times New Roman"/>
                <w:sz w:val="12"/>
                <w:szCs w:val="12"/>
                <w:lang w:val="uk-UA"/>
              </w:rPr>
            </w:r>
          </w:p>
          <w:p>
            <w:pPr>
              <w:pStyle w:val="Normal"/>
              <w:ind w:left="171" w:right="152" w:hanging="17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Вільне володіння державною мовою</w:t>
            </w:r>
          </w:p>
        </w:tc>
      </w:tr>
      <w:tr>
        <w:trPr>
          <w:trHeight w:val="447" w:hRule="atLeast"/>
        </w:trPr>
        <w:tc>
          <w:tcPr>
            <w:tcW w:w="967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 xml:space="preserve">Вимоги до компетентності </w:t>
            </w:r>
          </w:p>
        </w:tc>
      </w:tr>
      <w:tr>
        <w:trPr>
          <w:trHeight w:val="510" w:hRule="atLeast"/>
        </w:trPr>
        <w:tc>
          <w:tcPr>
            <w:tcW w:w="28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Вимога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jc w:val="center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Компоненти вимоги</w:t>
            </w:r>
          </w:p>
        </w:tc>
      </w:tr>
      <w:tr>
        <w:trPr>
          <w:trHeight w:val="342" w:hRule="atLeast"/>
        </w:trPr>
        <w:tc>
          <w:tcPr>
            <w:tcW w:w="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23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widowControl/>
              <w:suppressLineNumbers/>
              <w:suppressAutoHyphens w:val="true"/>
              <w:bidi w:val="0"/>
              <w:snapToGrid w:val="false"/>
              <w:ind w:left="0" w:right="0" w:hanging="0"/>
              <w:jc w:val="left"/>
              <w:rPr/>
            </w:pPr>
            <w:r>
              <w:rPr>
                <w:rStyle w:val="Style14"/>
                <w:rFonts w:cs="Times New Roman"/>
                <w:b/>
                <w:bCs/>
                <w:i w:val="false"/>
                <w:sz w:val="28"/>
                <w:szCs w:val="28"/>
                <w:lang w:val="uk-UA" w:eastAsia="zh-CN" w:bidi="hi-IN"/>
              </w:rPr>
              <w:t>Цифрова грамотність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комп’ютерні пристрої, базове офісне та спеціалізоване програмне забезпечення для ефективного виконання своїх посадових обов’язків;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здатність працювати з документами в різних цифрових форматах; зберігати, накопичувати, впорядковувати, архівувати цифрові ресурси та дані різних типів;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обов’язків; вміти користуватися кваліфікованим електронним підписом (КЕП)</w:t>
            </w:r>
          </w:p>
        </w:tc>
      </w:tr>
      <w:tr>
        <w:trPr/>
        <w:tc>
          <w:tcPr>
            <w:tcW w:w="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23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snapToGrid w:val="false"/>
              <w:jc w:val="left"/>
              <w:rPr>
                <w:rFonts w:cs="Times New Roman"/>
                <w:b/>
                <w:b/>
                <w:bCs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 w:eastAsia="zh-CN" w:bidi="hi-IN"/>
              </w:rPr>
              <w:t>Командна робота та взаємодія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розуміння ваги свого внеску у загальний результат (структурного підрозділу/державного органу);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орієнтація на командний результат;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готовність працювати в команді та сприяти колегам у їх професійній діяльності задля досягнення цілей;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відкритість в обміні інформацією</w:t>
            </w:r>
          </w:p>
        </w:tc>
      </w:tr>
      <w:tr>
        <w:trPr/>
        <w:tc>
          <w:tcPr>
            <w:tcW w:w="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23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>
                <w:rFonts w:cs="Times New Roman"/>
                <w:b/>
                <w:b/>
                <w:bCs/>
                <w:sz w:val="28"/>
                <w:szCs w:val="28"/>
                <w:lang w:val="uk-UA"/>
              </w:rPr>
            </w:pPr>
            <w:r>
              <w:rPr>
                <w:rFonts w:cs="Times New Roman"/>
                <w:b/>
                <w:bCs/>
                <w:sz w:val="28"/>
                <w:szCs w:val="28"/>
                <w:lang w:val="uk-UA"/>
              </w:rPr>
              <w:t>Управління організацією роботи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чітке бачення цілі;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ефективне управління ресурсами;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чітке планування реалізації;</w:t>
            </w:r>
          </w:p>
          <w:p>
            <w:pPr>
              <w:pStyle w:val="Style26"/>
              <w:snapToGrid w:val="false"/>
              <w:ind w:left="0" w:right="0" w:hanging="0"/>
              <w:jc w:val="both"/>
              <w:rPr>
                <w:rFonts w:cs="Times New Roman"/>
                <w:sz w:val="28"/>
                <w:szCs w:val="28"/>
                <w:lang w:val="uk-UA" w:eastAsia="zh-CN" w:bidi="hi-IN"/>
              </w:rPr>
            </w:pPr>
            <w:r>
              <w:rPr>
                <w:rFonts w:cs="Times New Roman"/>
                <w:sz w:val="28"/>
                <w:szCs w:val="28"/>
                <w:lang w:val="uk-UA" w:eastAsia="zh-CN" w:bidi="hi-IN"/>
              </w:rPr>
              <w:t>- ефективне формування та управління процесами</w:t>
            </w:r>
          </w:p>
        </w:tc>
      </w:tr>
      <w:tr>
        <w:trPr/>
        <w:tc>
          <w:tcPr>
            <w:tcW w:w="9675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Професійні знання</w:t>
            </w:r>
          </w:p>
        </w:tc>
      </w:tr>
      <w:tr>
        <w:trPr/>
        <w:tc>
          <w:tcPr>
            <w:tcW w:w="282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Вимога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jc w:val="center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Компоненти вимоги</w:t>
            </w:r>
          </w:p>
        </w:tc>
      </w:tr>
      <w:tr>
        <w:trPr/>
        <w:tc>
          <w:tcPr>
            <w:tcW w:w="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23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Style26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 законодавства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-2" w:type="dxa"/>
            </w:tcMar>
          </w:tcPr>
          <w:p>
            <w:pPr>
              <w:pStyle w:val="Normal"/>
              <w:ind w:left="171" w:right="152" w:hanging="171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cs="Times New Roman"/>
                <w:sz w:val="28"/>
                <w:szCs w:val="28"/>
                <w:lang w:val="uk-UA"/>
              </w:rPr>
              <w:t>Знання:</w:t>
            </w:r>
          </w:p>
          <w:p>
            <w:pPr>
              <w:pStyle w:val="Normal"/>
              <w:ind w:left="165" w:right="165" w:hanging="18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Конституції України;</w:t>
            </w:r>
          </w:p>
          <w:p>
            <w:pPr>
              <w:pStyle w:val="Normal"/>
              <w:ind w:left="165" w:right="165" w:hanging="181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державну службу”;</w:t>
            </w:r>
          </w:p>
          <w:p>
            <w:pPr>
              <w:pStyle w:val="Normal"/>
              <w:snapToGrid w:val="false"/>
              <w:ind w:left="165" w:right="165" w:hanging="165"/>
              <w:rPr>
                <w:rFonts w:cs="Times New Roman"/>
                <w:sz w:val="28"/>
                <w:szCs w:val="28"/>
                <w:lang w:val="uk-UA"/>
              </w:rPr>
            </w:pPr>
            <w:r>
              <w:rPr>
                <w:rFonts w:cs="Times New Roman"/>
                <w:sz w:val="28"/>
                <w:szCs w:val="28"/>
                <w:lang w:val="uk-UA"/>
              </w:rPr>
              <w:t>- Закону України “Про запобігання корупції”.</w:t>
            </w:r>
          </w:p>
        </w:tc>
      </w:tr>
      <w:tr>
        <w:trPr/>
        <w:tc>
          <w:tcPr>
            <w:tcW w:w="5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28" w:type="dxa"/>
              <w:right w:w="55" w:type="dxa"/>
            </w:tcMar>
          </w:tcPr>
          <w:p>
            <w:pPr>
              <w:pStyle w:val="Style23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23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28" w:type="dxa"/>
              <w:right w:w="55" w:type="dxa"/>
            </w:tcMar>
          </w:tcPr>
          <w:p>
            <w:pPr>
              <w:pStyle w:val="Style26"/>
              <w:snapToGrid w:val="false"/>
              <w:jc w:val="both"/>
              <w:rPr>
                <w:b/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Знання законодавства у сфері</w:t>
            </w:r>
          </w:p>
        </w:tc>
        <w:tc>
          <w:tcPr>
            <w:tcW w:w="6850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FFFFFF" w:val="clear"/>
            <w:tcMar>
              <w:left w:w="28" w:type="dxa"/>
              <w:right w:w="55" w:type="dxa"/>
            </w:tcMar>
          </w:tcPr>
          <w:p>
            <w:pPr>
              <w:pStyle w:val="Normal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 України 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“</w:t>
            </w:r>
            <w:r>
              <w:rPr>
                <w:rFonts w:cs="Times New Roman"/>
                <w:sz w:val="28"/>
                <w:szCs w:val="28"/>
                <w:lang w:val="uk-UA"/>
              </w:rPr>
              <w:t>Про загальнообов’язкове державне пенсійне страхування”;</w:t>
            </w:r>
          </w:p>
          <w:p>
            <w:pPr>
              <w:pStyle w:val="Normal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 України 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“</w:t>
            </w:r>
            <w:r>
              <w:rPr>
                <w:rFonts w:cs="Times New Roman"/>
                <w:sz w:val="28"/>
                <w:szCs w:val="28"/>
                <w:lang w:val="uk-UA"/>
              </w:rPr>
              <w:t>Про пенсійне забезпечення”;</w:t>
            </w:r>
          </w:p>
          <w:p>
            <w:pPr>
              <w:pStyle w:val="Normal"/>
              <w:numPr>
                <w:ilvl w:val="0"/>
                <w:numId w:val="0"/>
              </w:numPr>
              <w:ind w:left="0" w:right="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lang w:val="uk-UA"/>
              </w:rPr>
              <w:t xml:space="preserve">- Закон України </w:t>
            </w:r>
            <w:bookmarkStart w:id="7" w:name="__DdeLink__4680_25888853491"/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“</w:t>
            </w:r>
            <w:bookmarkEnd w:id="7"/>
            <w:r>
              <w:rPr>
                <w:rFonts w:cs="Times New Roman"/>
                <w:sz w:val="28"/>
                <w:szCs w:val="28"/>
                <w:lang w:val="uk-UA"/>
              </w:rPr>
              <w:t>Про збір на обов</w:t>
            </w:r>
            <w:r>
              <w:rPr>
                <w:rFonts w:cs="Times New Roman"/>
                <w:sz w:val="28"/>
                <w:szCs w:val="28"/>
                <w:lang w:val="ru-RU"/>
              </w:rPr>
              <w:t>'</w:t>
            </w:r>
            <w:r>
              <w:rPr>
                <w:rFonts w:cs="Times New Roman"/>
                <w:sz w:val="28"/>
                <w:szCs w:val="28"/>
                <w:lang w:val="uk-UA"/>
              </w:rPr>
              <w:t>язкове державне пенсійне страхування”;</w:t>
            </w:r>
          </w:p>
          <w:p>
            <w:pPr>
              <w:pStyle w:val="Normal"/>
              <w:widowControl/>
              <w:suppressAutoHyphens w:val="true"/>
              <w:bidi w:val="0"/>
              <w:ind w:left="0" w:right="170" w:hanging="0"/>
              <w:jc w:val="both"/>
              <w:rPr/>
            </w:pP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 xml:space="preserve">- Порядку </w:t>
            </w:r>
            <w:r>
              <w:rPr>
                <w:rFonts w:cs="Times New Roman"/>
                <w:sz w:val="28"/>
                <w:szCs w:val="28"/>
                <w:shd w:fill="FFFFFF" w:val="clear"/>
                <w:lang w:val="ru-RU"/>
              </w:rPr>
              <w:t xml:space="preserve">подання та оформлення документів для призначення (перерахунку) пенсій відповідно до Закону України 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“</w:t>
            </w:r>
            <w:r>
              <w:rPr>
                <w:rFonts w:cs="Times New Roman"/>
                <w:sz w:val="28"/>
                <w:szCs w:val="28"/>
                <w:shd w:fill="FFFFFF" w:val="clear"/>
                <w:lang w:val="ru-RU"/>
              </w:rPr>
              <w:t>Про загальнообов'язкове державне пенсійне страхування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”</w:t>
            </w:r>
            <w:r>
              <w:rPr>
                <w:rFonts w:cs="Times New Roman"/>
                <w:sz w:val="28"/>
                <w:szCs w:val="28"/>
                <w:shd w:fill="FFFFFF" w:val="clear"/>
                <w:lang w:val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затвердженого</w:t>
            </w:r>
            <w:r>
              <w:rPr>
                <w:rFonts w:cs="Times New Roman"/>
                <w:sz w:val="28"/>
                <w:szCs w:val="28"/>
                <w:shd w:fill="FFFFFF" w:val="clear"/>
                <w:lang w:val="ru-RU"/>
              </w:rPr>
              <w:t xml:space="preserve"> 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Постановою</w:t>
            </w:r>
            <w:r>
              <w:rPr>
                <w:rFonts w:cs="Times New Roman"/>
                <w:sz w:val="28"/>
                <w:szCs w:val="28"/>
                <w:shd w:fill="FFFFFF" w:val="clear"/>
                <w:lang w:val="ru-RU"/>
              </w:rPr>
              <w:t xml:space="preserve"> правління Пенсійного фонду України 25.11.2005 р. № 22-1</w:t>
            </w:r>
            <w:r>
              <w:rPr>
                <w:rFonts w:cs="Times New Roman"/>
                <w:sz w:val="28"/>
                <w:szCs w:val="28"/>
                <w:shd w:fill="FFFFFF" w:val="clear"/>
                <w:lang w:val="uk-UA"/>
              </w:rPr>
              <w:t>.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567" w:header="0" w:top="600" w:footer="0" w:bottom="578" w:gutter="0"/>
      <w:pgNumType w:fmt="decimal"/>
      <w:formProt w:val="false"/>
      <w:textDirection w:val="lrTb"/>
      <w:docGrid w:type="default" w:linePitch="6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720"/>
      </w:pPr>
    </w:lvl>
    <w:lvl w:ilvl="3">
      <w:start w:val="1"/>
      <w:pStyle w:val="4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uk-UA" w:eastAsia="zh-CN" w:bidi="ar-SA"/>
    </w:rPr>
  </w:style>
  <w:style w:type="paragraph" w:styleId="2">
    <w:name w:val="Heading 2"/>
    <w:basedOn w:val="Normal"/>
    <w:qFormat/>
    <w:pPr>
      <w:keepNext w:val="true"/>
      <w:numPr>
        <w:ilvl w:val="1"/>
        <w:numId w:val="1"/>
      </w:numPr>
      <w:spacing w:lineRule="auto" w:line="276"/>
      <w:jc w:val="center"/>
      <w:outlineLvl w:val="1"/>
    </w:pPr>
    <w:rPr>
      <w:rFonts w:eastAsia="Calibri"/>
      <w:b/>
      <w:sz w:val="28"/>
      <w:szCs w:val="28"/>
      <w:lang w:val="ru-RU"/>
    </w:rPr>
  </w:style>
  <w:style w:type="paragraph" w:styleId="3">
    <w:name w:val="Heading 3"/>
    <w:basedOn w:val="Normal"/>
    <w:qFormat/>
    <w:pPr>
      <w:keepNext w:val="true"/>
      <w:numPr>
        <w:ilvl w:val="2"/>
        <w:numId w:val="1"/>
      </w:numPr>
      <w:jc w:val="right"/>
      <w:outlineLvl w:val="2"/>
    </w:pPr>
    <w:rPr>
      <w:b/>
      <w:sz w:val="28"/>
      <w:szCs w:val="20"/>
    </w:rPr>
  </w:style>
  <w:style w:type="paragraph" w:styleId="4">
    <w:name w:val="Heading 4"/>
    <w:basedOn w:val="Style16"/>
    <w:qFormat/>
    <w:pPr>
      <w:numPr>
        <w:ilvl w:val="3"/>
        <w:numId w:val="1"/>
      </w:numPr>
      <w:spacing w:before="120" w:after="120"/>
      <w:outlineLvl w:val="3"/>
    </w:pPr>
    <w:rPr>
      <w:b/>
      <w:bCs/>
      <w:i/>
      <w:iCs/>
      <w:sz w:val="27"/>
      <w:szCs w:val="27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DefaultParagraphFont">
    <w:name w:val="Default Paragraph Font"/>
    <w:qFormat/>
    <w:rPr/>
  </w:style>
  <w:style w:type="character" w:styleId="Style11">
    <w:name w:val="Символ нумерации"/>
    <w:qFormat/>
    <w:rPr/>
  </w:style>
  <w:style w:type="character" w:styleId="Style12">
    <w:name w:val="Текст выноски Знак"/>
    <w:basedOn w:val="DefaultParagraphFont"/>
    <w:qFormat/>
    <w:rPr>
      <w:rFonts w:ascii="Tahoma" w:hAnsi="Tahoma" w:eastAsia="Times New Roman" w:cs="Tahoma"/>
      <w:color w:val="000000"/>
      <w:sz w:val="16"/>
      <w:szCs w:val="16"/>
      <w:lang w:bidi="ar-SA"/>
    </w:rPr>
  </w:style>
  <w:style w:type="character" w:styleId="FontStyle15">
    <w:name w:val="Font Style15"/>
    <w:qFormat/>
    <w:rPr>
      <w:rFonts w:ascii="Times New Roman" w:hAnsi="Times New Roman" w:cs="Times New Roman"/>
      <w:sz w:val="24"/>
      <w:szCs w:val="24"/>
    </w:rPr>
  </w:style>
  <w:style w:type="character" w:styleId="Style13">
    <w:name w:val="Гіперпосилання"/>
    <w:rPr>
      <w:color w:val="000080"/>
      <w:u w:val="single"/>
      <w:lang w:val="zxx" w:eastAsia="zxx" w:bidi="zxx"/>
    </w:rPr>
  </w:style>
  <w:style w:type="character" w:styleId="Style14">
    <w:name w:val="Виділення"/>
    <w:qFormat/>
    <w:rPr>
      <w:i/>
      <w:iCs/>
    </w:rPr>
  </w:style>
  <w:style w:type="character" w:styleId="WW">
    <w:name w:val="WW-Гіперпосилання"/>
    <w:qFormat/>
    <w:rPr>
      <w:color w:val="000080"/>
      <w:u w:val="single"/>
      <w:lang w:val="zxx" w:eastAsia="zxx" w:bidi="zxx"/>
    </w:rPr>
  </w:style>
  <w:style w:type="character" w:styleId="WW1">
    <w:name w:val="WW-Виділення"/>
    <w:qFormat/>
    <w:rPr>
      <w:i/>
      <w:iCs/>
    </w:rPr>
  </w:style>
  <w:style w:type="character" w:styleId="Style15">
    <w:name w:val="Маркери списку"/>
    <w:qFormat/>
    <w:rPr>
      <w:rFonts w:ascii="OpenSymbol;Arial Unicode MS" w:hAnsi="OpenSymbol;Arial Unicode MS" w:eastAsia="OpenSymbol;Arial Unicode MS" w:cs="OpenSymbol;Arial Unicode MS"/>
    </w:rPr>
  </w:style>
  <w:style w:type="character" w:styleId="ListLabel1">
    <w:name w:val="ListLabel 1"/>
    <w:qFormat/>
    <w:rPr>
      <w:rFonts w:cs="OpenSymbol;Arial Unicode MS"/>
    </w:rPr>
  </w:style>
  <w:style w:type="character" w:styleId="ListLabel2">
    <w:name w:val="ListLabel 2"/>
    <w:qFormat/>
    <w:rPr>
      <w:rFonts w:cs="OpenSymbol;Arial Unicode MS"/>
    </w:rPr>
  </w:style>
  <w:style w:type="character" w:styleId="ListLabel3">
    <w:name w:val="ListLabel 3"/>
    <w:qFormat/>
    <w:rPr>
      <w:rFonts w:cs="OpenSymbol;Arial Unicode MS"/>
    </w:rPr>
  </w:style>
  <w:style w:type="character" w:styleId="ListLabel4">
    <w:name w:val="ListLabel 4"/>
    <w:qFormat/>
    <w:rPr>
      <w:rFonts w:cs="OpenSymbol;Arial Unicode MS"/>
    </w:rPr>
  </w:style>
  <w:style w:type="character" w:styleId="ListLabel5">
    <w:name w:val="ListLabel 5"/>
    <w:qFormat/>
    <w:rPr>
      <w:rFonts w:cs="OpenSymbol;Arial Unicode MS"/>
    </w:rPr>
  </w:style>
  <w:style w:type="character" w:styleId="ListLabel6">
    <w:name w:val="ListLabel 6"/>
    <w:qFormat/>
    <w:rPr>
      <w:rFonts w:cs="OpenSymbol;Arial Unicode MS"/>
    </w:rPr>
  </w:style>
  <w:style w:type="character" w:styleId="ListLabel7">
    <w:name w:val="ListLabel 7"/>
    <w:qFormat/>
    <w:rPr>
      <w:rFonts w:cs="OpenSymbol;Arial Unicode MS"/>
    </w:rPr>
  </w:style>
  <w:style w:type="character" w:styleId="ListLabel8">
    <w:name w:val="ListLabel 8"/>
    <w:qFormat/>
    <w:rPr>
      <w:rFonts w:cs="OpenSymbol;Arial Unicode MS"/>
    </w:rPr>
  </w:style>
  <w:style w:type="character" w:styleId="ListLabel9">
    <w:name w:val="ListLabel 9"/>
    <w:qFormat/>
    <w:rPr>
      <w:rFonts w:cs="OpenSymbol;Arial Unicode MS"/>
    </w:rPr>
  </w:style>
  <w:style w:type="character" w:styleId="ListLabel10">
    <w:name w:val="ListLabel 10"/>
    <w:qFormat/>
    <w:rPr>
      <w:rFonts w:ascii="Times New Roman" w:hAnsi="Times New Roman" w:cs="Times New Roman"/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1">
    <w:name w:val="ListLabel 11"/>
    <w:qFormat/>
    <w:rPr>
      <w:rFonts w:ascii="Times New Roman" w:hAnsi="Times New Roman" w:cs="Times New Roman"/>
      <w:b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2">
    <w:name w:val="ListLabel 12"/>
    <w:qFormat/>
    <w:rPr>
      <w:b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3">
    <w:name w:val="ListLabel 13"/>
    <w:qFormat/>
    <w:rPr>
      <w:b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4">
    <w:name w:val="ListLabel 14"/>
    <w:qFormat/>
    <w:rPr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5">
    <w:name w:val="ListLabel 15"/>
    <w:qFormat/>
    <w:rPr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character" w:styleId="ListLabel16">
    <w:name w:val="ListLabel 16"/>
    <w:qFormat/>
    <w:rPr>
      <w:b w:val="false"/>
      <w:bCs w:val="false"/>
      <w:i w:val="false"/>
      <w:caps w:val="false"/>
      <w:smallCaps w:val="false"/>
      <w:strike w:val="false"/>
      <w:dstrike w:val="false"/>
      <w:color w:val="000000"/>
      <w:spacing w:val="0"/>
      <w:sz w:val="28"/>
      <w:u w:val="none"/>
      <w:lang w:val="uk-UA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Arial" w:hAnsi="Arial" w:eastAsia="Lucida Sans Unicode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"/>
    </w:rPr>
  </w:style>
  <w:style w:type="paragraph" w:styleId="Style21">
    <w:name w:val="Название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Index1">
    <w:name w:val="index 1"/>
    <w:basedOn w:val="Normal"/>
    <w:qFormat/>
    <w:pPr>
      <w:spacing w:lineRule="atLeast" w:line="240"/>
      <w:ind w:left="0" w:right="-6" w:hanging="0"/>
      <w:jc w:val="center"/>
    </w:pPr>
    <w:rPr>
      <w:b/>
      <w:sz w:val="28"/>
      <w:szCs w:val="20"/>
      <w:lang w:val="ru-RU"/>
    </w:rPr>
  </w:style>
  <w:style w:type="paragraph" w:styleId="Style23">
    <w:name w:val="Содержимое таблицы"/>
    <w:basedOn w:val="Normal"/>
    <w:qFormat/>
    <w:pPr>
      <w:suppressLineNumbers/>
    </w:pPr>
    <w:rPr/>
  </w:style>
  <w:style w:type="paragraph" w:styleId="Style24">
    <w:name w:val="Заголовок таблицы"/>
    <w:basedOn w:val="Style23"/>
    <w:qFormat/>
    <w:pPr>
      <w:jc w:val="center"/>
    </w:pPr>
    <w:rPr>
      <w:b/>
      <w:bCs/>
    </w:rPr>
  </w:style>
  <w:style w:type="paragraph" w:styleId="Style25">
    <w:name w:val="Body Text Indent"/>
    <w:basedOn w:val="Normal"/>
    <w:pPr>
      <w:spacing w:before="0" w:after="120"/>
      <w:ind w:left="283" w:right="0" w:hanging="0"/>
    </w:pPr>
    <w:rPr/>
  </w:style>
  <w:style w:type="paragraph" w:styleId="WW2">
    <w:name w:val="WW-Базовый"/>
    <w:qFormat/>
    <w:pPr>
      <w:widowControl w:val="false"/>
      <w:suppressAutoHyphens w:val="true"/>
      <w:overflowPunct w:val="true"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hi-IN" w:bidi="hi-IN"/>
    </w:rPr>
  </w:style>
  <w:style w:type="paragraph" w:styleId="BodyTextIndent3">
    <w:name w:val="Body Text Indent 3"/>
    <w:basedOn w:val="WW2"/>
    <w:qFormat/>
    <w:pPr>
      <w:ind w:left="4678" w:right="0" w:hanging="0"/>
      <w:jc w:val="center"/>
      <w:textAlignment w:val="baseline"/>
    </w:pPr>
    <w:rPr>
      <w:sz w:val="28"/>
      <w:lang w:eastAsia="ru-RU"/>
    </w:rPr>
  </w:style>
  <w:style w:type="paragraph" w:styleId="Style26">
    <w:name w:val="Вміст таблиці"/>
    <w:basedOn w:val="Normal"/>
    <w:qFormat/>
    <w:pPr>
      <w:suppressLineNumbers/>
    </w:pPr>
    <w:rPr/>
  </w:style>
  <w:style w:type="paragraph" w:styleId="Style27">
    <w:name w:val="Заголовок таблиці"/>
    <w:basedOn w:val="Style26"/>
    <w:qFormat/>
    <w:pPr>
      <w:jc w:val="center"/>
    </w:pPr>
    <w:rPr>
      <w:b/>
      <w:bCs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8">
    <w:name w:val="Обычный (веб)"/>
    <w:basedOn w:val="Normal"/>
    <w:qFormat/>
    <w:pPr>
      <w:spacing w:before="280" w:after="280"/>
    </w:pPr>
    <w:rPr>
      <w:sz w:val="24"/>
      <w:szCs w:val="24"/>
      <w:lang w:val="ru-RU"/>
    </w:rPr>
  </w:style>
  <w:style w:type="paragraph" w:styleId="Rvps12">
    <w:name w:val="rvps12"/>
    <w:basedOn w:val="Normal"/>
    <w:qFormat/>
    <w:pPr>
      <w:spacing w:before="280" w:after="280"/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Application>LibreOffice/5.4.4.2$Windows_X86_64 LibreOffice_project/2524958677847fb3bb44820e40380acbe820f960</Application>
  <Pages>4</Pages>
  <Words>833</Words>
  <Characters>5626</Characters>
  <CharactersWithSpaces>6398</CharactersWithSpaces>
  <Paragraphs>90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2020-10-27T16:50:00Z</dcterms:created>
  <dc:creator>kadr2</dc:creator>
  <dc:description/>
  <dc:language>uk-UA</dc:language>
  <cp:lastModifiedBy/>
  <cp:lastPrinted>2021-08-27T15:39:33Z</cp:lastPrinted>
  <dcterms:modified xsi:type="dcterms:W3CDTF">2021-12-17T13:52:24Z</dcterms:modified>
  <cp:revision>68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