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</w:r>
    </w:p>
    <w:tbl>
      <w:tblPr>
        <w:tblW w:w="9738" w:type="dxa"/>
        <w:jc w:val="center"/>
        <w:tblInd w:w="0" w:type="dxa"/>
        <w:tblBorders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47"/>
        <w:gridCol w:w="2323"/>
        <w:gridCol w:w="4368"/>
      </w:tblGrid>
      <w:tr>
        <w:trPr/>
        <w:tc>
          <w:tcPr>
            <w:tcW w:w="304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0" w:right="-284" w:hanging="0"/>
              <w:jc w:val="both"/>
              <w:rPr>
                <w:rFonts w:ascii="Times New Roman" w:hAnsi="Times New Roman" w:eastAsia="Times New Roman" w:cs="Times New Roman"/>
                <w:color w:val="2A2928"/>
                <w:sz w:val="28"/>
                <w:szCs w:val="28"/>
                <w:lang w:eastAsia="uk-UA"/>
              </w:rPr>
            </w:pPr>
            <w:r>
              <w:rPr>
                <w:rFonts w:eastAsia="Times New Roman" w:cs="Times New Roman"/>
                <w:color w:val="2A2928"/>
                <w:sz w:val="28"/>
                <w:szCs w:val="28"/>
                <w:lang w:eastAsia="uk-UA"/>
              </w:rPr>
            </w:r>
          </w:p>
        </w:tc>
        <w:tc>
          <w:tcPr>
            <w:tcW w:w="232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0" w:right="-284" w:hanging="0"/>
              <w:jc w:val="both"/>
              <w:rPr>
                <w:rFonts w:ascii="Times New Roman" w:hAnsi="Times New Roman" w:eastAsia="Times New Roman" w:cs="Times New Roman"/>
                <w:b/>
                <w:b/>
                <w:bCs/>
                <w:color w:val="2A2928"/>
                <w:sz w:val="28"/>
                <w:szCs w:val="28"/>
                <w:lang w:eastAsia="uk-UA"/>
              </w:rPr>
            </w:pPr>
            <w:r>
              <w:rPr>
                <w:rFonts w:eastAsia="Times New Roman" w:cs="Times New Roman"/>
                <w:b/>
                <w:bCs/>
                <w:color w:val="2A2928"/>
                <w:sz w:val="28"/>
                <w:szCs w:val="28"/>
                <w:lang w:eastAsia="uk-UA"/>
              </w:rPr>
            </w:r>
          </w:p>
        </w:tc>
        <w:tc>
          <w:tcPr>
            <w:tcW w:w="436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-108" w:right="-284" w:hanging="0"/>
              <w:rPr>
                <w:b w:val="false"/>
                <w:b w:val="false"/>
                <w:bCs w:val="false"/>
              </w:rPr>
            </w:pPr>
            <w:r>
              <w:rPr>
                <w:rFonts w:eastAsia="Times New Roman" w:cs="Times New Roman"/>
                <w:b w:val="false"/>
                <w:bCs w:val="false"/>
                <w:color w:val="2A2928"/>
                <w:sz w:val="28"/>
                <w:szCs w:val="28"/>
                <w:lang w:eastAsia="uk-UA"/>
              </w:rPr>
              <w:t>ЗАТВЕРДЖЕНО</w:t>
            </w:r>
          </w:p>
          <w:p>
            <w:pPr>
              <w:pStyle w:val="Normal"/>
              <w:spacing w:lineRule="auto" w:line="240" w:before="0" w:after="0"/>
              <w:ind w:left="-108" w:right="-284" w:hanging="0"/>
              <w:rPr/>
            </w:pPr>
            <w:r>
              <w:rPr>
                <w:rFonts w:eastAsia="Times New Roman" w:cs="Times New Roman"/>
                <w:b w:val="false"/>
                <w:bCs w:val="false"/>
                <w:color w:val="2A2928"/>
                <w:sz w:val="28"/>
                <w:szCs w:val="28"/>
                <w:lang w:eastAsia="uk-UA"/>
              </w:rPr>
              <w:t>Наказ Головного управління Пенсійного фонду України в Рівненській області</w:t>
            </w:r>
          </w:p>
          <w:p>
            <w:pPr>
              <w:pStyle w:val="Normal"/>
              <w:spacing w:lineRule="auto" w:line="240" w:before="0" w:after="0"/>
              <w:ind w:left="-108" w:right="-284" w:hanging="0"/>
              <w:rPr/>
            </w:pPr>
            <w:r>
              <w:rPr>
                <w:rFonts w:eastAsia="Times New Roman" w:cs="Times New Roman"/>
                <w:b w:val="false"/>
                <w:bCs w:val="false"/>
                <w:color w:val="2A2928"/>
                <w:sz w:val="28"/>
                <w:szCs w:val="28"/>
                <w:u w:val="single"/>
                <w:lang w:eastAsia="uk-UA"/>
              </w:rPr>
              <w:t>17.12.2021</w:t>
            </w:r>
            <w:r>
              <w:rPr>
                <w:rFonts w:eastAsia="Times New Roman" w:cs="Times New Roman"/>
                <w:b w:val="false"/>
                <w:bCs w:val="false"/>
                <w:color w:val="2A2928"/>
                <w:sz w:val="28"/>
                <w:szCs w:val="28"/>
                <w:lang w:eastAsia="uk-UA"/>
              </w:rPr>
              <w:t xml:space="preserve"> № </w:t>
            </w:r>
            <w:r>
              <w:rPr>
                <w:rFonts w:eastAsia="Times New Roman" w:cs="Times New Roman"/>
                <w:b w:val="false"/>
                <w:bCs w:val="false"/>
                <w:color w:val="2A2928"/>
                <w:sz w:val="28"/>
                <w:szCs w:val="28"/>
                <w:u w:val="single"/>
                <w:lang w:eastAsia="uk-UA"/>
              </w:rPr>
              <w:t>1309</w:t>
            </w:r>
          </w:p>
          <w:p>
            <w:pPr>
              <w:pStyle w:val="Normal"/>
              <w:spacing w:lineRule="auto" w:line="240" w:before="0" w:after="0"/>
              <w:ind w:left="0" w:right="-284" w:hanging="0"/>
              <w:rPr>
                <w:rFonts w:ascii="Times New Roman" w:hAnsi="Times New Roman" w:eastAsia="Times New Roman" w:cs="Times New Roman"/>
                <w:b/>
                <w:b/>
                <w:bCs/>
                <w:color w:val="2A2928"/>
                <w:sz w:val="28"/>
                <w:szCs w:val="28"/>
                <w:lang w:eastAsia="uk-UA"/>
              </w:rPr>
            </w:pPr>
            <w:r>
              <w:rPr>
                <w:rFonts w:eastAsia="Times New Roman" w:cs="Times New Roman"/>
                <w:b/>
                <w:bCs/>
                <w:color w:val="2A2928"/>
                <w:sz w:val="28"/>
                <w:szCs w:val="28"/>
                <w:lang w:eastAsia="uk-UA"/>
              </w:rPr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center"/>
        <w:rPr/>
      </w:pPr>
      <w:r>
        <w:rPr>
          <w:b/>
          <w:bCs/>
          <w:sz w:val="28"/>
          <w:szCs w:val="28"/>
        </w:rPr>
        <w:t xml:space="preserve">УМОВИ </w:t>
      </w:r>
    </w:p>
    <w:p>
      <w:pPr>
        <w:pStyle w:val="Normal"/>
        <w:jc w:val="center"/>
        <w:rPr/>
      </w:pPr>
      <w:r>
        <w:rPr>
          <w:b/>
          <w:bCs/>
          <w:sz w:val="28"/>
          <w:szCs w:val="28"/>
        </w:rPr>
        <w:t xml:space="preserve">проведення конкурсу на зайняття посади державної служби категорії “В” - провідного спеціаліста відділу з ретроконверсії № 2 </w:t>
      </w:r>
    </w:p>
    <w:p>
      <w:pPr>
        <w:pStyle w:val="Normal"/>
        <w:jc w:val="center"/>
        <w:rPr/>
      </w:pPr>
      <w:r>
        <w:rPr>
          <w:b/>
          <w:bCs/>
          <w:sz w:val="28"/>
          <w:szCs w:val="28"/>
        </w:rPr>
        <w:t>управління з ретроконверсії</w:t>
      </w:r>
    </w:p>
    <w:p>
      <w:pPr>
        <w:pStyle w:val="Normal"/>
        <w:jc w:val="center"/>
        <w:rPr/>
      </w:pPr>
      <w:r>
        <w:rPr>
          <w:rFonts w:eastAsia="Times New Roman" w:cs="Times New Roman"/>
          <w:b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z w:val="28"/>
          <w:szCs w:val="28"/>
          <w:u w:val="none"/>
          <w:em w:val="none"/>
          <w:lang w:val="uk-UA" w:eastAsia="zh-CN" w:bidi="ar-SA"/>
        </w:rPr>
        <w:t>(віддалене робоче місце місто Рівне, вул. Яворницького, 34)</w:t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tbl>
      <w:tblPr>
        <w:tblW w:w="9645" w:type="dxa"/>
        <w:jc w:val="left"/>
        <w:tblInd w:w="29" w:type="dxa"/>
        <w:tblBorders>
          <w:top w:val="single" w:sz="2" w:space="0" w:color="000001"/>
          <w:left w:val="single" w:sz="2" w:space="0" w:color="000001"/>
          <w:bottom w:val="single" w:sz="2" w:space="0" w:color="000001"/>
          <w:right w:val="single" w:sz="2" w:space="0" w:color="000001"/>
          <w:insideH w:val="single" w:sz="2" w:space="0" w:color="000001"/>
          <w:insideV w:val="single" w:sz="2" w:space="0" w:color="000001"/>
        </w:tblBorders>
        <w:tblCellMar>
          <w:top w:w="55" w:type="dxa"/>
          <w:left w:w="-2" w:type="dxa"/>
          <w:bottom w:w="55" w:type="dxa"/>
          <w:right w:w="48" w:type="dxa"/>
        </w:tblCellMar>
      </w:tblPr>
      <w:tblGrid>
        <w:gridCol w:w="516"/>
        <w:gridCol w:w="2309"/>
        <w:gridCol w:w="591"/>
        <w:gridCol w:w="6229"/>
      </w:tblGrid>
      <w:tr>
        <w:trPr>
          <w:trHeight w:val="354" w:hRule="atLeast"/>
        </w:trPr>
        <w:tc>
          <w:tcPr>
            <w:tcW w:w="9645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jc w:val="center"/>
              <w:rPr/>
            </w:pP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>Загальні умови</w:t>
            </w:r>
          </w:p>
        </w:tc>
      </w:tr>
      <w:tr>
        <w:trPr/>
        <w:tc>
          <w:tcPr>
            <w:tcW w:w="3416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jc w:val="left"/>
              <w:rPr/>
            </w:pP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>Посадові обов</w:t>
            </w:r>
            <w:r>
              <w:rPr>
                <w:rFonts w:cs="Times New Roman"/>
                <w:b/>
                <w:bCs/>
                <w:sz w:val="28"/>
                <w:szCs w:val="28"/>
                <w:lang w:val="en-US"/>
              </w:rPr>
              <w:t>'</w:t>
            </w: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>язки</w:t>
            </w:r>
          </w:p>
        </w:tc>
        <w:tc>
          <w:tcPr>
            <w:tcW w:w="62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19"/>
              <w:widowControl/>
              <w:suppressAutoHyphens w:val="true"/>
              <w:overflowPunct w:val="true"/>
              <w:spacing w:lineRule="atLeast" w:line="100" w:before="0" w:after="0"/>
              <w:jc w:val="both"/>
              <w:rPr/>
            </w:pPr>
            <w:r>
              <w:rPr>
                <w:rStyle w:val="FontStyle15"/>
                <w:sz w:val="28"/>
                <w:szCs w:val="28"/>
                <w:shd w:fill="auto" w:val="clear"/>
                <w:lang w:val="uk-UA" w:eastAsia="zh-CN" w:bidi="ar-SA"/>
              </w:rPr>
              <w:t>- п</w:t>
            </w:r>
            <w:r>
              <w:rPr>
                <w:rStyle w:val="FontStyle15"/>
                <w:rFonts w:cs="Times New Roman"/>
                <w:sz w:val="28"/>
                <w:szCs w:val="28"/>
                <w:shd w:fill="auto" w:val="clear"/>
                <w:lang w:val="uk-UA" w:eastAsia="zh-CN" w:bidi="ar-SA"/>
              </w:rPr>
              <w:t>еревірка відповідності задокументованих зображень паперовій пенсійній справі;</w:t>
            </w:r>
          </w:p>
          <w:p>
            <w:pPr>
              <w:pStyle w:val="Style19"/>
              <w:widowControl/>
              <w:suppressAutoHyphens w:val="true"/>
              <w:overflowPunct w:val="true"/>
              <w:spacing w:lineRule="atLeast" w:line="100" w:before="0" w:after="0"/>
              <w:jc w:val="both"/>
              <w:rPr/>
            </w:pPr>
            <w:r>
              <w:rPr>
                <w:rStyle w:val="FontStyle15"/>
                <w:rFonts w:cs="Times New Roman"/>
                <w:sz w:val="28"/>
                <w:szCs w:val="28"/>
                <w:shd w:fill="auto" w:val="clear"/>
                <w:lang w:val="uk-UA" w:eastAsia="zh-CN" w:bidi="ar-SA"/>
              </w:rPr>
              <w:t>- сканування окремих документів пенсійної справи, здійснення заповнення форм атрибутування документа та його збереження;</w:t>
            </w:r>
          </w:p>
          <w:p>
            <w:pPr>
              <w:pStyle w:val="Style19"/>
              <w:widowControl/>
              <w:suppressAutoHyphens w:val="true"/>
              <w:overflowPunct w:val="true"/>
              <w:spacing w:lineRule="atLeast" w:line="100" w:before="0" w:after="0"/>
              <w:jc w:val="both"/>
              <w:rPr/>
            </w:pPr>
            <w:r>
              <w:rPr>
                <w:rStyle w:val="FontStyle15"/>
                <w:rFonts w:cs="Times New Roman"/>
                <w:sz w:val="28"/>
                <w:szCs w:val="28"/>
                <w:shd w:fill="auto" w:val="clear"/>
                <w:lang w:val="uk-UA" w:eastAsia="zh-CN" w:bidi="ar-SA"/>
              </w:rPr>
              <w:t>- формування протоколів відповідності даних  (порівняння наявних типів документів електронного архіву із складовими пенсійної виплати та ШВП, кодів видів виплати підвищень, надбавок, наявних у складі пенсійної виплати);</w:t>
            </w:r>
          </w:p>
          <w:p>
            <w:pPr>
              <w:pStyle w:val="Style19"/>
              <w:widowControl/>
              <w:suppressAutoHyphens w:val="true"/>
              <w:overflowPunct w:val="true"/>
              <w:spacing w:lineRule="atLeast" w:line="100" w:before="0" w:after="0"/>
              <w:jc w:val="both"/>
              <w:rPr/>
            </w:pPr>
            <w:r>
              <w:rPr>
                <w:rStyle w:val="FontStyle15"/>
                <w:rFonts w:cs="Times New Roman"/>
                <w:sz w:val="28"/>
                <w:szCs w:val="28"/>
                <w:highlight w:val="white"/>
                <w:shd w:fill="auto" w:val="clear"/>
                <w:lang w:val="uk-UA" w:eastAsia="zh-CN" w:bidi="ar-SA"/>
              </w:rPr>
              <w:t>- впорядкування електронної пенсійної справи відповідно до наявних документів паперової  пенсійної справи.</w:t>
            </w:r>
          </w:p>
        </w:tc>
      </w:tr>
      <w:tr>
        <w:trPr/>
        <w:tc>
          <w:tcPr>
            <w:tcW w:w="3416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jc w:val="both"/>
              <w:rPr/>
            </w:pP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 xml:space="preserve">Умови оплати праці </w:t>
            </w:r>
          </w:p>
        </w:tc>
        <w:tc>
          <w:tcPr>
            <w:tcW w:w="62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spacing w:lineRule="auto" w:line="240"/>
              <w:jc w:val="both"/>
              <w:rPr/>
            </w:pPr>
            <w:r>
              <w:rPr>
                <w:rFonts w:cs="Times New Roman"/>
                <w:sz w:val="28"/>
                <w:szCs w:val="28"/>
                <w:lang w:val="uk-UA" w:eastAsia="zh-CN" w:bidi="hi-IN"/>
              </w:rPr>
              <w:t>посадовий оклад — 51</w:t>
            </w:r>
            <w:r>
              <w:rPr>
                <w:rFonts w:cs="Times New Roman"/>
                <w:i w:val="false"/>
                <w:iCs w:val="false"/>
                <w:sz w:val="28"/>
                <w:szCs w:val="28"/>
                <w:lang w:val="uk-UA" w:eastAsia="zh-CN" w:bidi="hi-IN"/>
              </w:rPr>
              <w:t>00</w:t>
            </w:r>
            <w:r>
              <w:rPr>
                <w:rFonts w:cs="Times New Roman"/>
                <w:sz w:val="28"/>
                <w:szCs w:val="28"/>
                <w:lang w:val="uk-UA" w:eastAsia="zh-CN" w:bidi="hi-IN"/>
              </w:rPr>
              <w:t xml:space="preserve"> грн., надбавки, доплати, премії та компенсації відповідно до статті 52 Закону України “Про державну службу”; надбавка до посадового окладу за ранг відповідно до постанови Кабінету Міністрів України від 18 січня 2017 року № 15 “Питання оплати праці працівників державних органів” (із змінами). </w:t>
            </w:r>
          </w:p>
        </w:tc>
      </w:tr>
      <w:tr>
        <w:trPr/>
        <w:tc>
          <w:tcPr>
            <w:tcW w:w="3416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jc w:val="left"/>
              <w:rPr/>
            </w:pP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 xml:space="preserve">Інформація про строковість чи безстроковість призначення на посаду  </w:t>
            </w:r>
          </w:p>
          <w:p>
            <w:pPr>
              <w:pStyle w:val="Style23"/>
              <w:jc w:val="left"/>
              <w:rPr>
                <w:rFonts w:ascii="Times New Roman" w:hAnsi="Times New Roman" w:cs="Times New Roman"/>
                <w:b/>
                <w:b/>
                <w:bCs/>
                <w:sz w:val="28"/>
                <w:szCs w:val="28"/>
                <w:lang w:val="uk-UA"/>
              </w:rPr>
            </w:pP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</w:r>
          </w:p>
        </w:tc>
        <w:tc>
          <w:tcPr>
            <w:tcW w:w="62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3"/>
              <w:jc w:val="both"/>
              <w:rPr/>
            </w:pPr>
            <w:bookmarkStart w:id="0" w:name="__DdeLink__2179_402598247"/>
            <w:bookmarkStart w:id="1" w:name="__DdeLink__2354_3190848176"/>
            <w:r>
              <w:rPr>
                <w:rFonts w:cs="Times New Roman"/>
                <w:sz w:val="28"/>
                <w:szCs w:val="28"/>
                <w:lang w:val="uk-UA"/>
              </w:rPr>
              <w:t xml:space="preserve">безстроково </w:t>
            </w:r>
            <w:bookmarkEnd w:id="0"/>
            <w:bookmarkEnd w:id="1"/>
            <w:r>
              <w:rPr>
                <w:rFonts w:cs="Times New Roman"/>
                <w:sz w:val="28"/>
                <w:szCs w:val="28"/>
                <w:lang w:val="uk-UA"/>
              </w:rPr>
              <w:t>(строк призначення особи, яка досягла 65-річного віку, становить один рік з правом повторного призначення без обов’язкового проведення конкурсу щороку)</w:t>
            </w:r>
          </w:p>
        </w:tc>
      </w:tr>
      <w:tr>
        <w:trPr/>
        <w:tc>
          <w:tcPr>
            <w:tcW w:w="3416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jc w:val="left"/>
              <w:rPr/>
            </w:pPr>
            <w:r>
              <w:rPr>
                <w:rFonts w:cs="Times New Roman"/>
                <w:b/>
                <w:bCs/>
                <w:color w:val="000000"/>
                <w:sz w:val="28"/>
                <w:szCs w:val="28"/>
                <w:lang w:val="uk-UA"/>
              </w:rPr>
              <w:t xml:space="preserve">Перелік інформації, необхідної для участі в конкурсі, та строк її подання </w:t>
            </w:r>
          </w:p>
        </w:tc>
        <w:tc>
          <w:tcPr>
            <w:tcW w:w="62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>1) заяву про участь у конкурсі із зазначенням основних мотивів щодо зайняття посади за формою згідно з додатком 2 до Порядку проведення конкурсу на зайняття посад державної служби, затвердженого постановою Кабінету Міністрів України від 25 березня 2016 р. № 246 (зі змінами);</w:t>
            </w:r>
          </w:p>
          <w:p>
            <w:pPr>
              <w:pStyle w:val="Rvps12"/>
              <w:spacing w:lineRule="auto" w:line="240" w:before="0" w:after="0"/>
              <w:ind w:left="0" w:right="0" w:hanging="0"/>
              <w:jc w:val="both"/>
              <w:rPr/>
            </w:pP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>2) рез</w:t>
            </w:r>
            <w:r>
              <w:rPr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8"/>
                <w:u w:val="none"/>
                <w:lang w:val="uk-UA"/>
              </w:rPr>
              <w:t>юме за формою згідно з </w:t>
            </w:r>
            <w:r>
              <w:fldChar w:fldCharType="begin"/>
            </w:r>
            <w:r>
              <w:instrText> HYPERLINK "https://zakon.rada.gov.ua/laws/show/246-2016-п/print" \l "n1039"</w:instrText>
            </w:r>
            <w:r>
              <w:fldChar w:fldCharType="separate"/>
            </w:r>
            <w:r>
              <w:rPr>
                <w:rStyle w:val="WW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8"/>
                <w:u w:val="none"/>
                <w:lang w:val="uk-UA"/>
              </w:rPr>
              <w:t>додатком 2</w:t>
            </w:r>
            <w:r>
              <w:fldChar w:fldCharType="end"/>
            </w:r>
            <w:r>
              <w:fldChar w:fldCharType="begin"/>
            </w:r>
            <w:r>
              <w:instrText> HYPERLINK "https://zakon.rada.gov.ua/laws/show/246-2016-п/print" \l "n1039"</w:instrText>
            </w:r>
            <w:r>
              <w:fldChar w:fldCharType="separate"/>
            </w:r>
            <w:r>
              <w:rPr>
                <w:rStyle w:val="WW"/>
                <w:b w:val="false"/>
                <w:bCs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8"/>
                <w:u w:val="none"/>
                <w:lang w:val="uk-UA"/>
              </w:rPr>
              <w:t>-1</w:t>
            </w:r>
            <w:r>
              <w:fldChar w:fldCharType="end"/>
            </w:r>
            <w:r>
              <w:rPr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8"/>
                <w:u w:val="none"/>
                <w:lang w:val="uk-UA"/>
              </w:rPr>
              <w:t>, в якому обов’язково зазначається така інформація:</w:t>
            </w:r>
          </w:p>
          <w:p>
            <w:pPr>
              <w:pStyle w:val="Style19"/>
              <w:widowControl/>
              <w:numPr>
                <w:ilvl w:val="0"/>
                <w:numId w:val="0"/>
              </w:numPr>
              <w:spacing w:lineRule="auto" w:line="240" w:before="0" w:after="0"/>
              <w:ind w:left="720" w:right="0" w:hanging="0"/>
              <w:jc w:val="both"/>
              <w:rPr/>
            </w:pPr>
            <w:bookmarkStart w:id="2" w:name="n11721"/>
            <w:bookmarkEnd w:id="2"/>
            <w:r>
              <w:rPr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8"/>
                <w:u w:val="none"/>
              </w:rPr>
              <w:t>прізвище, ім’я, по батькові кандидата;</w:t>
            </w:r>
          </w:p>
          <w:p>
            <w:pPr>
              <w:pStyle w:val="Style19"/>
              <w:widowControl/>
              <w:numPr>
                <w:ilvl w:val="0"/>
                <w:numId w:val="0"/>
              </w:numPr>
              <w:spacing w:lineRule="auto" w:line="240" w:before="0" w:after="0"/>
              <w:ind w:left="720" w:right="0" w:hanging="0"/>
              <w:jc w:val="both"/>
              <w:rPr/>
            </w:pPr>
            <w:bookmarkStart w:id="3" w:name="n11731"/>
            <w:bookmarkEnd w:id="3"/>
            <w:r>
              <w:rPr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8"/>
                <w:u w:val="none"/>
              </w:rPr>
              <w:t>реквізити документа, що посвідчує особу та підтверджує громадянство України;</w:t>
            </w:r>
          </w:p>
          <w:p>
            <w:pPr>
              <w:pStyle w:val="Style19"/>
              <w:widowControl/>
              <w:numPr>
                <w:ilvl w:val="0"/>
                <w:numId w:val="0"/>
              </w:numPr>
              <w:spacing w:lineRule="auto" w:line="240" w:before="0" w:after="0"/>
              <w:ind w:left="720" w:right="0" w:hanging="0"/>
              <w:jc w:val="both"/>
              <w:rPr/>
            </w:pPr>
            <w:bookmarkStart w:id="4" w:name="n11741"/>
            <w:bookmarkEnd w:id="4"/>
            <w:r>
              <w:rPr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8"/>
                <w:u w:val="none"/>
              </w:rPr>
              <w:t>підтвердження наявності відповідного ступеня вищої освіти;</w:t>
            </w:r>
          </w:p>
          <w:p>
            <w:pPr>
              <w:pStyle w:val="Rvps12"/>
              <w:numPr>
                <w:ilvl w:val="0"/>
                <w:numId w:val="0"/>
              </w:numPr>
              <w:spacing w:lineRule="auto" w:line="240" w:before="0" w:after="0"/>
              <w:ind w:left="720" w:right="0" w:hanging="0"/>
              <w:jc w:val="both"/>
              <w:rPr/>
            </w:pPr>
            <w:bookmarkStart w:id="5" w:name="n11761"/>
            <w:bookmarkEnd w:id="5"/>
            <w:r>
              <w:rPr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8"/>
                <w:u w:val="none"/>
                <w:lang w:val="uk-UA"/>
              </w:rPr>
              <w:t>відомості про стаж роботи, стаж державної служби (за наявності), досвід роботи на відповідних посадах у відповідній сфері, визначеній в умовах конкурсу, та на керівних посадах (за наявності відповідних вимог)</w:t>
            </w:r>
          </w:p>
          <w:p>
            <w:pPr>
              <w:pStyle w:val="Rvps12"/>
              <w:spacing w:lineRule="auto" w:line="240" w:before="0" w:after="0"/>
              <w:jc w:val="both"/>
              <w:rPr/>
            </w:pP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>3) з</w:t>
            </w:r>
            <w:r>
              <w:rPr>
                <w:rFonts w:cs="Times New Roman"/>
                <w:color w:val="000000"/>
                <w:sz w:val="28"/>
                <w:szCs w:val="28"/>
              </w:rPr>
              <w:t>аяву</w:t>
            </w:r>
            <w:r>
              <w:rPr>
                <w:rFonts w:cs="Times New Roman"/>
                <w:color w:val="000000"/>
                <w:sz w:val="28"/>
                <w:szCs w:val="28"/>
                <w:lang w:val="uk-UA" w:eastAsia="zh-CN" w:bidi="hi-IN"/>
              </w:rPr>
              <w:t xml:space="preserve">, в якій повідомляє, що до неї не застосовуються заборони, визначені </w:t>
            </w:r>
            <w:r>
              <w:rPr>
                <w:rStyle w:val="Style15"/>
                <w:rFonts w:cs="Times New Roman"/>
                <w:color w:val="000000"/>
                <w:sz w:val="28"/>
                <w:szCs w:val="28"/>
                <w:u w:val="none"/>
                <w:lang w:val="uk-UA" w:eastAsia="zh-CN" w:bidi="hi-IN"/>
              </w:rPr>
              <w:t>частиною третьою</w:t>
            </w:r>
            <w:r>
              <w:rPr>
                <w:rFonts w:cs="Times New Roman"/>
                <w:color w:val="000000"/>
                <w:sz w:val="28"/>
                <w:szCs w:val="28"/>
                <w:u w:val="none"/>
                <w:lang w:val="uk-UA" w:eastAsia="zh-CN" w:bidi="hi-IN"/>
              </w:rPr>
              <w:t xml:space="preserve"> або </w:t>
            </w:r>
            <w:r>
              <w:rPr>
                <w:rStyle w:val="Style15"/>
                <w:rFonts w:cs="Times New Roman"/>
                <w:color w:val="000000"/>
                <w:sz w:val="28"/>
                <w:szCs w:val="28"/>
                <w:u w:val="none"/>
                <w:lang w:val="uk-UA" w:eastAsia="zh-CN" w:bidi="hi-IN"/>
              </w:rPr>
              <w:t>четвертою</w:t>
            </w:r>
            <w:r>
              <w:rPr>
                <w:rFonts w:cs="Times New Roman"/>
                <w:color w:val="000000"/>
                <w:sz w:val="28"/>
                <w:szCs w:val="28"/>
                <w:lang w:val="uk-UA" w:eastAsia="zh-CN" w:bidi="hi-IN"/>
              </w:rPr>
              <w:t xml:space="preserve"> статті 1 Закону України “Про очищення влади”, та надає згоду на проходження перевірки та на оприлюднення відомостей стосовно неї відповідно до зазначеного Закону;</w:t>
            </w:r>
          </w:p>
          <w:p>
            <w:pPr>
              <w:pStyle w:val="Rvps12"/>
              <w:spacing w:lineRule="auto" w:line="240" w:before="0" w:after="0"/>
              <w:jc w:val="both"/>
              <w:rPr/>
            </w:pPr>
            <w:r>
              <w:rPr>
                <w:rFonts w:cs="Times New Roman"/>
                <w:color w:val="000000"/>
                <w:sz w:val="28"/>
                <w:szCs w:val="28"/>
                <w:lang w:val="uk-UA" w:eastAsia="zh-CN" w:bidi="hi-IN"/>
              </w:rPr>
              <w:t>Подача додатків до заяви не є обов’язковою.</w:t>
            </w:r>
          </w:p>
          <w:p>
            <w:pPr>
              <w:pStyle w:val="Style19"/>
              <w:widowControl/>
              <w:spacing w:lineRule="auto" w:line="240" w:before="0" w:after="0"/>
              <w:ind w:left="0" w:right="0" w:hanging="0"/>
              <w:jc w:val="both"/>
              <w:rPr/>
            </w:pPr>
            <w:r>
              <w:rPr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8"/>
                <w:u w:val="none"/>
                <w:lang w:val="uk-UA"/>
              </w:rPr>
              <w:t>3</w:t>
            </w:r>
            <w:r>
              <w:rPr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16"/>
                <w:u w:val="none"/>
                <w:lang w:val="uk-UA"/>
              </w:rPr>
              <w:t>-1</w:t>
            </w:r>
            <w:r>
              <w:rPr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8"/>
                <w:u w:val="none"/>
                <w:lang w:val="uk-UA"/>
              </w:rPr>
              <w:t>) копію Державного сертифіката про рівень володіння державною мовою (витяг з реєстру Державних сертифікатів про рівень володіння державною мовою), що підтверджує рівень володіння державною мовою, визначений Національною комісією зі стандартів державної мови.</w:t>
            </w:r>
          </w:p>
          <w:p>
            <w:pPr>
              <w:pStyle w:val="Rvps12"/>
              <w:spacing w:lineRule="auto" w:line="240" w:before="0" w:after="0"/>
              <w:jc w:val="both"/>
              <w:rPr/>
            </w:pPr>
            <w:r>
              <w:rPr>
                <w:rFonts w:cs="Times New Roman"/>
                <w:color w:val="000000"/>
                <w:sz w:val="28"/>
                <w:szCs w:val="28"/>
                <w:lang w:val="uk-UA" w:eastAsia="zh-CN" w:bidi="hi-IN"/>
              </w:rPr>
              <w:t xml:space="preserve">Документи приймаються до 15 год. 00 хв. </w:t>
            </w:r>
          </w:p>
          <w:p>
            <w:pPr>
              <w:pStyle w:val="Rvps12"/>
              <w:spacing w:lineRule="auto" w:line="240" w:before="0" w:after="0"/>
              <w:jc w:val="both"/>
              <w:rPr/>
            </w:pPr>
            <w:r>
              <w:rPr>
                <w:rFonts w:cs="Times New Roman"/>
                <w:color w:val="000000"/>
                <w:sz w:val="28"/>
                <w:szCs w:val="28"/>
                <w:lang w:val="uk-UA" w:eastAsia="zh-CN" w:bidi="hi-IN"/>
              </w:rPr>
              <w:t>31 грудня 2021 року</w:t>
            </w:r>
          </w:p>
        </w:tc>
      </w:tr>
      <w:tr>
        <w:trPr/>
        <w:tc>
          <w:tcPr>
            <w:tcW w:w="3416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jc w:val="left"/>
              <w:rPr/>
            </w:pPr>
            <w:r>
              <w:rPr>
                <w:b/>
                <w:bCs/>
                <w:sz w:val="28"/>
                <w:szCs w:val="28"/>
              </w:rPr>
              <w:t>Додаткові (необов’</w:t>
            </w:r>
            <w:r>
              <w:rPr>
                <w:b/>
                <w:bCs/>
                <w:sz w:val="28"/>
                <w:szCs w:val="28"/>
                <w:lang w:val="uk-UA"/>
              </w:rPr>
              <w:t>язкові) документи</w:t>
            </w:r>
          </w:p>
        </w:tc>
        <w:tc>
          <w:tcPr>
            <w:tcW w:w="62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Rvps12"/>
              <w:spacing w:before="0" w:after="0"/>
              <w:jc w:val="both"/>
              <w:rPr/>
            </w:pPr>
            <w:r>
              <w:rPr>
                <w:sz w:val="28"/>
                <w:szCs w:val="28"/>
              </w:rPr>
              <w:t>заява щодо забезпечення розумним пристосуванням за формою згідно з додатком 3 до Порядку проведення конкурсу на зайняття посад державної служби</w:t>
            </w:r>
          </w:p>
        </w:tc>
      </w:tr>
      <w:tr>
        <w:trPr/>
        <w:tc>
          <w:tcPr>
            <w:tcW w:w="3416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jc w:val="left"/>
              <w:rPr/>
            </w:pPr>
            <w:r>
              <w:rPr>
                <w:b/>
                <w:bCs/>
                <w:sz w:val="28"/>
                <w:szCs w:val="28"/>
              </w:rPr>
              <w:t xml:space="preserve">Дата і час початку проведення тестування кандидатів. </w:t>
            </w:r>
          </w:p>
          <w:p>
            <w:pPr>
              <w:pStyle w:val="Style23"/>
              <w:jc w:val="left"/>
              <w:rPr/>
            </w:pPr>
            <w:r>
              <w:rPr>
                <w:b/>
                <w:bCs/>
                <w:sz w:val="28"/>
                <w:szCs w:val="28"/>
              </w:rPr>
              <w:t>Місце або спосіб проведення тестування.</w:t>
            </w:r>
          </w:p>
          <w:p>
            <w:pPr>
              <w:pStyle w:val="Style23"/>
              <w:jc w:val="left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</w:r>
          </w:p>
          <w:p>
            <w:pPr>
              <w:pStyle w:val="Style23"/>
              <w:jc w:val="left"/>
              <w:rPr/>
            </w:pPr>
            <w:r>
              <w:rPr>
                <w:b/>
                <w:bCs/>
                <w:sz w:val="28"/>
                <w:szCs w:val="28"/>
              </w:rPr>
              <w:t xml:space="preserve"> </w:t>
            </w:r>
            <w:r>
              <w:rPr>
                <w:b/>
                <w:bCs/>
                <w:sz w:val="28"/>
                <w:szCs w:val="28"/>
              </w:rPr>
              <w:t>Місце або спосіб проведення співбесіди (із зазначенням електронної платформи для комунікації дистанційно)</w:t>
            </w:r>
          </w:p>
          <w:p>
            <w:pPr>
              <w:pStyle w:val="Style23"/>
              <w:spacing w:before="0" w:after="0"/>
              <w:ind w:left="0" w:right="0" w:hanging="0"/>
              <w:jc w:val="left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</w:r>
          </w:p>
          <w:p>
            <w:pPr>
              <w:pStyle w:val="Style26"/>
              <w:spacing w:before="0" w:after="0"/>
              <w:ind w:left="0" w:right="0" w:hanging="0"/>
              <w:jc w:val="left"/>
              <w:rPr/>
            </w:pPr>
            <w:r>
              <w:rPr>
                <w:b/>
                <w:bCs/>
                <w:sz w:val="28"/>
                <w:szCs w:val="28"/>
              </w:rPr>
              <w:t>Місце або спосіб проведення співбесіди з метою визначення суб’єктом призначення або керівником державної служби переможця (переможців) конкурсу (із зазначенням електронної платформи для комунікації дистанційно)</w:t>
            </w:r>
          </w:p>
        </w:tc>
        <w:tc>
          <w:tcPr>
            <w:tcW w:w="62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Rvps12"/>
              <w:spacing w:before="0" w:after="0"/>
              <w:jc w:val="both"/>
              <w:rPr/>
            </w:pPr>
            <w:r>
              <w:rPr>
                <w:sz w:val="28"/>
                <w:szCs w:val="28"/>
                <w:lang w:val="en-US"/>
              </w:rPr>
              <w:t>11</w:t>
            </w:r>
            <w:r>
              <w:rPr>
                <w:sz w:val="28"/>
                <w:szCs w:val="28"/>
              </w:rPr>
              <w:t xml:space="preserve"> січня 2022 року о 10 год. 00 хв.</w:t>
            </w:r>
          </w:p>
          <w:p>
            <w:pPr>
              <w:pStyle w:val="Rvps12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Rvps12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Rvps12"/>
              <w:spacing w:before="0" w:after="0"/>
              <w:jc w:val="both"/>
              <w:rPr/>
            </w:pPr>
            <w:r>
              <w:rPr>
                <w:sz w:val="28"/>
                <w:szCs w:val="28"/>
              </w:rPr>
              <w:t>м. Рівне, вул. Короленка, 7 (проведення тестування за фізичної присутності кандидата)</w:t>
            </w:r>
          </w:p>
          <w:p>
            <w:pPr>
              <w:pStyle w:val="Rvps12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Rvps12"/>
              <w:spacing w:before="0" w:after="0"/>
              <w:jc w:val="both"/>
              <w:rPr/>
            </w:pPr>
            <w:r>
              <w:rPr>
                <w:sz w:val="28"/>
                <w:szCs w:val="28"/>
              </w:rPr>
              <w:t>м. Рівне, вул. Короленка, 7 (проведення співбесіди за фізичної присутності кандидата)</w:t>
            </w:r>
          </w:p>
          <w:p>
            <w:pPr>
              <w:pStyle w:val="Rvps12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Rvps12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Rvps12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Rvps12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Rvps12"/>
              <w:spacing w:before="0" w:after="0"/>
              <w:jc w:val="both"/>
              <w:rPr/>
            </w:pPr>
            <w:r>
              <w:rPr>
                <w:sz w:val="28"/>
                <w:szCs w:val="28"/>
              </w:rPr>
              <w:t>м. Рівне, вул. Короленка, 7 (проведення співбесіди за фізичної присутності кандидата)</w:t>
            </w:r>
          </w:p>
        </w:tc>
      </w:tr>
      <w:tr>
        <w:trPr/>
        <w:tc>
          <w:tcPr>
            <w:tcW w:w="3416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jc w:val="left"/>
              <w:rPr/>
            </w:pP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>Прізвище, ім</w:t>
            </w:r>
            <w:r>
              <w:rPr>
                <w:rFonts w:cs="Times New Roman"/>
                <w:b/>
                <w:bCs/>
                <w:sz w:val="28"/>
                <w:szCs w:val="28"/>
                <w:lang w:val="en-US"/>
              </w:rPr>
              <w:t>'</w:t>
            </w: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>я та по батькові, номер телефону та адреса електронної пошти особи, яка надає додаткову інформацію з питань добору з призначення на вакантну посаду</w:t>
            </w:r>
          </w:p>
          <w:p>
            <w:pPr>
              <w:pStyle w:val="Style23"/>
              <w:jc w:val="left"/>
              <w:rPr>
                <w:rFonts w:cs="Times New Roman"/>
                <w:b/>
                <w:b/>
                <w:bCs/>
                <w:sz w:val="28"/>
                <w:szCs w:val="28"/>
                <w:lang w:val="uk-UA"/>
              </w:rPr>
            </w:pP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</w:r>
          </w:p>
        </w:tc>
        <w:tc>
          <w:tcPr>
            <w:tcW w:w="62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3"/>
              <w:rPr/>
            </w:pP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>Ковальчук Світлана Олександрівна</w:t>
            </w:r>
          </w:p>
          <w:p>
            <w:pPr>
              <w:pStyle w:val="Style23"/>
              <w:rPr/>
            </w:pP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>м.т.: 0362-63-33-42</w:t>
            </w:r>
          </w:p>
          <w:p>
            <w:pPr>
              <w:pStyle w:val="Style23"/>
              <w:rPr/>
            </w:pP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 xml:space="preserve">kad@rv.pfu.gov.ua </w:t>
            </w:r>
          </w:p>
        </w:tc>
      </w:tr>
      <w:tr>
        <w:trPr>
          <w:trHeight w:val="358" w:hRule="atLeast"/>
        </w:trPr>
        <w:tc>
          <w:tcPr>
            <w:tcW w:w="9645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3"/>
              <w:jc w:val="center"/>
              <w:rPr/>
            </w:pP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>Кваліфікаційні вимоги</w:t>
            </w:r>
          </w:p>
        </w:tc>
      </w:tr>
      <w:tr>
        <w:trPr/>
        <w:tc>
          <w:tcPr>
            <w:tcW w:w="5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jc w:val="center"/>
              <w:rPr/>
            </w:pPr>
            <w:r>
              <w:rPr>
                <w:rFonts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23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jc w:val="left"/>
              <w:rPr/>
            </w:pP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>Освіта</w:t>
            </w:r>
          </w:p>
        </w:tc>
        <w:tc>
          <w:tcPr>
            <w:tcW w:w="682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6"/>
              <w:jc w:val="both"/>
              <w:rPr/>
            </w:pPr>
            <w:r>
              <w:rPr>
                <w:rFonts w:cs="Times New Roman"/>
                <w:sz w:val="28"/>
                <w:szCs w:val="28"/>
                <w:lang w:val="uk-UA"/>
              </w:rPr>
              <w:t>Вища, не нижче ступеня молодшого бакалавра або бакалавра</w:t>
            </w:r>
          </w:p>
        </w:tc>
      </w:tr>
      <w:tr>
        <w:trPr>
          <w:trHeight w:val="673" w:hRule="atLeast"/>
        </w:trPr>
        <w:tc>
          <w:tcPr>
            <w:tcW w:w="5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jc w:val="center"/>
              <w:rPr/>
            </w:pPr>
            <w:r>
              <w:rPr>
                <w:rFonts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23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jc w:val="left"/>
              <w:rPr/>
            </w:pP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>Досвід роботи</w:t>
            </w:r>
          </w:p>
        </w:tc>
        <w:tc>
          <w:tcPr>
            <w:tcW w:w="682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jc w:val="both"/>
              <w:rPr/>
            </w:pPr>
            <w:r>
              <w:rPr>
                <w:rFonts w:cs="Times New Roman"/>
                <w:sz w:val="28"/>
                <w:szCs w:val="28"/>
                <w:lang w:val="uk-UA"/>
              </w:rPr>
              <w:t>Не потребує</w:t>
            </w:r>
          </w:p>
        </w:tc>
      </w:tr>
      <w:tr>
        <w:trPr/>
        <w:tc>
          <w:tcPr>
            <w:tcW w:w="5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jc w:val="center"/>
              <w:rPr/>
            </w:pPr>
            <w:r>
              <w:rPr>
                <w:rFonts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23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jc w:val="left"/>
              <w:rPr/>
            </w:pP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>Володіння державною мовою</w:t>
            </w:r>
          </w:p>
        </w:tc>
        <w:tc>
          <w:tcPr>
            <w:tcW w:w="682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Normal"/>
              <w:snapToGrid w:val="false"/>
              <w:ind w:left="171" w:right="152" w:hanging="171"/>
              <w:rPr>
                <w:rFonts w:ascii="Times New Roman" w:hAnsi="Times New Roman" w:cs="Times New Roman"/>
                <w:sz w:val="12"/>
                <w:szCs w:val="12"/>
                <w:lang w:val="uk-UA"/>
              </w:rPr>
            </w:pPr>
            <w:r>
              <w:rPr>
                <w:rFonts w:cs="Times New Roman"/>
                <w:sz w:val="12"/>
                <w:szCs w:val="12"/>
                <w:lang w:val="uk-UA"/>
              </w:rPr>
            </w:r>
          </w:p>
          <w:p>
            <w:pPr>
              <w:pStyle w:val="Normal"/>
              <w:ind w:left="171" w:right="152" w:hanging="171"/>
              <w:rPr/>
            </w:pPr>
            <w:r>
              <w:rPr>
                <w:rFonts w:cs="Times New Roman"/>
                <w:sz w:val="28"/>
                <w:szCs w:val="28"/>
                <w:lang w:val="uk-UA"/>
              </w:rPr>
              <w:t>Вільне володіння державною мовою</w:t>
            </w:r>
          </w:p>
        </w:tc>
      </w:tr>
      <w:tr>
        <w:trPr>
          <w:trHeight w:val="447" w:hRule="atLeast"/>
        </w:trPr>
        <w:tc>
          <w:tcPr>
            <w:tcW w:w="9645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jc w:val="center"/>
              <w:rPr/>
            </w:pP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 xml:space="preserve">Вимоги до компетентності </w:t>
            </w:r>
          </w:p>
        </w:tc>
      </w:tr>
      <w:tr>
        <w:trPr>
          <w:trHeight w:val="510" w:hRule="atLeast"/>
        </w:trPr>
        <w:tc>
          <w:tcPr>
            <w:tcW w:w="282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jc w:val="center"/>
              <w:rPr/>
            </w:pP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>Вимога</w:t>
            </w:r>
          </w:p>
        </w:tc>
        <w:tc>
          <w:tcPr>
            <w:tcW w:w="682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6"/>
              <w:jc w:val="center"/>
              <w:rPr/>
            </w:pP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>Компоненти вимоги</w:t>
            </w:r>
          </w:p>
        </w:tc>
      </w:tr>
      <w:tr>
        <w:trPr>
          <w:trHeight w:val="342" w:hRule="atLeast"/>
        </w:trPr>
        <w:tc>
          <w:tcPr>
            <w:tcW w:w="5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jc w:val="center"/>
              <w:rPr/>
            </w:pPr>
            <w:r>
              <w:rPr>
                <w:rFonts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23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6"/>
              <w:widowControl/>
              <w:suppressLineNumbers/>
              <w:suppressAutoHyphens w:val="true"/>
              <w:bidi w:val="0"/>
              <w:snapToGrid w:val="false"/>
              <w:ind w:left="0" w:right="0" w:hanging="0"/>
              <w:jc w:val="left"/>
              <w:rPr/>
            </w:pPr>
            <w:r>
              <w:rPr>
                <w:rStyle w:val="Style14"/>
                <w:rFonts w:cs="Times New Roman"/>
                <w:b/>
                <w:bCs/>
                <w:i w:val="false"/>
                <w:sz w:val="28"/>
                <w:szCs w:val="28"/>
                <w:lang w:val="uk-UA" w:eastAsia="zh-CN" w:bidi="hi-IN"/>
              </w:rPr>
              <w:t>Цифрова грамотність</w:t>
            </w:r>
          </w:p>
        </w:tc>
        <w:tc>
          <w:tcPr>
            <w:tcW w:w="682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6"/>
              <w:snapToGrid w:val="false"/>
              <w:ind w:left="0" w:right="0" w:firstLine="170"/>
              <w:jc w:val="both"/>
              <w:rPr/>
            </w:pPr>
            <w:r>
              <w:rPr>
                <w:rFonts w:cs="Times New Roman"/>
                <w:sz w:val="28"/>
                <w:szCs w:val="28"/>
                <w:lang w:val="uk-UA" w:eastAsia="zh-CN" w:bidi="hi-IN"/>
              </w:rPr>
              <w:t>- вміння використовувати комп’ютерні пристрої, базове офісне та спеціалізоване програмне забезпечення для ефективного виконання своїх посадових обов’язків;</w:t>
            </w:r>
          </w:p>
          <w:p>
            <w:pPr>
              <w:pStyle w:val="Style26"/>
              <w:snapToGrid w:val="false"/>
              <w:ind w:left="0" w:right="0" w:firstLine="170"/>
              <w:jc w:val="both"/>
              <w:rPr/>
            </w:pPr>
            <w:r>
              <w:rPr>
                <w:rFonts w:cs="Times New Roman"/>
                <w:sz w:val="28"/>
                <w:szCs w:val="28"/>
                <w:lang w:val="uk-UA" w:eastAsia="zh-CN" w:bidi="hi-IN"/>
              </w:rPr>
              <w:t>- здатність працювати з документами в різних цифрових форматах; зберігати, накопичувати, впорядковувати, архівувати цифрові ресурси та дані різних типів;</w:t>
            </w:r>
          </w:p>
          <w:p>
            <w:pPr>
              <w:pStyle w:val="Style26"/>
              <w:snapToGrid w:val="false"/>
              <w:ind w:left="0" w:right="0" w:firstLine="170"/>
              <w:jc w:val="both"/>
              <w:rPr/>
            </w:pPr>
            <w:r>
              <w:rPr>
                <w:rFonts w:cs="Times New Roman"/>
                <w:sz w:val="28"/>
                <w:szCs w:val="28"/>
                <w:lang w:val="uk-UA" w:eastAsia="zh-CN" w:bidi="hi-IN"/>
              </w:rPr>
              <w:t>- вміння використовувати електронні реєстри, системи електронного документообігу та інші електронні урядові системи для обміну інформацією, для електронного листування в рамках своїх посадових обов’язків; вміти користуватися кваліфікованим електронним підписом (КЕП)</w:t>
            </w:r>
          </w:p>
        </w:tc>
      </w:tr>
      <w:tr>
        <w:trPr/>
        <w:tc>
          <w:tcPr>
            <w:tcW w:w="5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jc w:val="center"/>
              <w:rPr/>
            </w:pPr>
            <w:r>
              <w:rPr>
                <w:rFonts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23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6"/>
              <w:snapToGrid w:val="false"/>
              <w:jc w:val="left"/>
              <w:rPr/>
            </w:pPr>
            <w:r>
              <w:rPr>
                <w:rFonts w:cs="Times New Roman"/>
                <w:b/>
                <w:bCs/>
                <w:sz w:val="28"/>
                <w:szCs w:val="28"/>
                <w:lang w:val="uk-UA" w:eastAsia="zh-CN" w:bidi="hi-IN"/>
              </w:rPr>
              <w:t>Командна робота та взаємодія</w:t>
            </w:r>
          </w:p>
        </w:tc>
        <w:tc>
          <w:tcPr>
            <w:tcW w:w="682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6"/>
              <w:snapToGrid w:val="false"/>
              <w:ind w:left="0" w:right="0" w:firstLine="170"/>
              <w:jc w:val="both"/>
              <w:rPr/>
            </w:pPr>
            <w:r>
              <w:rPr>
                <w:rFonts w:cs="Times New Roman"/>
                <w:sz w:val="28"/>
                <w:szCs w:val="28"/>
                <w:lang w:val="uk-UA" w:eastAsia="zh-CN" w:bidi="hi-IN"/>
              </w:rPr>
              <w:t>- розуміння ваги свого внеску у загальний результат (структурного підрозділу/державного органу);</w:t>
            </w:r>
          </w:p>
          <w:p>
            <w:pPr>
              <w:pStyle w:val="Style26"/>
              <w:snapToGrid w:val="false"/>
              <w:ind w:left="0" w:right="0" w:firstLine="170"/>
              <w:jc w:val="both"/>
              <w:rPr/>
            </w:pPr>
            <w:r>
              <w:rPr>
                <w:rFonts w:cs="Times New Roman"/>
                <w:sz w:val="28"/>
                <w:szCs w:val="28"/>
                <w:lang w:val="uk-UA" w:eastAsia="zh-CN" w:bidi="hi-IN"/>
              </w:rPr>
              <w:t>- орієнтація на командний результат;</w:t>
            </w:r>
          </w:p>
          <w:p>
            <w:pPr>
              <w:pStyle w:val="Style26"/>
              <w:snapToGrid w:val="false"/>
              <w:ind w:left="0" w:right="0" w:firstLine="170"/>
              <w:jc w:val="both"/>
              <w:rPr/>
            </w:pPr>
            <w:r>
              <w:rPr>
                <w:rFonts w:cs="Times New Roman"/>
                <w:sz w:val="28"/>
                <w:szCs w:val="28"/>
                <w:lang w:val="uk-UA" w:eastAsia="zh-CN" w:bidi="hi-IN"/>
              </w:rPr>
              <w:t>- готовність працювати в команді та сприяти колегам у їх професійній діяльності задля досягнення цілей;</w:t>
            </w:r>
          </w:p>
          <w:p>
            <w:pPr>
              <w:pStyle w:val="Style26"/>
              <w:snapToGrid w:val="false"/>
              <w:ind w:left="0" w:right="0" w:firstLine="170"/>
              <w:jc w:val="both"/>
              <w:rPr/>
            </w:pPr>
            <w:r>
              <w:rPr>
                <w:rFonts w:cs="Times New Roman"/>
                <w:sz w:val="28"/>
                <w:szCs w:val="28"/>
                <w:lang w:val="uk-UA" w:eastAsia="zh-CN" w:bidi="hi-IN"/>
              </w:rPr>
              <w:t>- відкритість в обміні інформацією</w:t>
            </w:r>
          </w:p>
        </w:tc>
      </w:tr>
      <w:tr>
        <w:trPr/>
        <w:tc>
          <w:tcPr>
            <w:tcW w:w="5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jc w:val="center"/>
              <w:rPr/>
            </w:pPr>
            <w:r>
              <w:rPr>
                <w:rFonts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23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6"/>
              <w:snapToGrid w:val="false"/>
              <w:jc w:val="both"/>
              <w:rPr/>
            </w:pP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>Управління організацією роботи</w:t>
            </w:r>
          </w:p>
        </w:tc>
        <w:tc>
          <w:tcPr>
            <w:tcW w:w="682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6"/>
              <w:snapToGrid w:val="false"/>
              <w:ind w:left="0" w:right="0" w:firstLine="170"/>
              <w:jc w:val="both"/>
              <w:rPr/>
            </w:pPr>
            <w:r>
              <w:rPr>
                <w:rFonts w:cs="Times New Roman"/>
                <w:sz w:val="28"/>
                <w:szCs w:val="28"/>
                <w:lang w:val="uk-UA" w:eastAsia="zh-CN" w:bidi="hi-IN"/>
              </w:rPr>
              <w:t>- чітке бачення цілі;</w:t>
            </w:r>
          </w:p>
          <w:p>
            <w:pPr>
              <w:pStyle w:val="Style26"/>
              <w:snapToGrid w:val="false"/>
              <w:ind w:left="0" w:right="0" w:firstLine="170"/>
              <w:jc w:val="both"/>
              <w:rPr/>
            </w:pPr>
            <w:r>
              <w:rPr>
                <w:rFonts w:cs="Times New Roman"/>
                <w:sz w:val="28"/>
                <w:szCs w:val="28"/>
                <w:lang w:val="uk-UA" w:eastAsia="zh-CN" w:bidi="hi-IN"/>
              </w:rPr>
              <w:t>- ефективне управління ресурсами;</w:t>
            </w:r>
          </w:p>
          <w:p>
            <w:pPr>
              <w:pStyle w:val="Style26"/>
              <w:snapToGrid w:val="false"/>
              <w:ind w:left="0" w:right="0" w:firstLine="170"/>
              <w:jc w:val="both"/>
              <w:rPr/>
            </w:pPr>
            <w:r>
              <w:rPr>
                <w:rFonts w:cs="Times New Roman"/>
                <w:sz w:val="28"/>
                <w:szCs w:val="28"/>
                <w:lang w:val="uk-UA" w:eastAsia="zh-CN" w:bidi="hi-IN"/>
              </w:rPr>
              <w:t>- чітке планування реалізації;</w:t>
            </w:r>
          </w:p>
          <w:p>
            <w:pPr>
              <w:pStyle w:val="Style26"/>
              <w:snapToGrid w:val="false"/>
              <w:ind w:left="0" w:right="0" w:firstLine="170"/>
              <w:jc w:val="both"/>
              <w:rPr/>
            </w:pPr>
            <w:r>
              <w:rPr>
                <w:rFonts w:cs="Times New Roman"/>
                <w:sz w:val="28"/>
                <w:szCs w:val="28"/>
                <w:lang w:val="uk-UA" w:eastAsia="zh-CN" w:bidi="hi-IN"/>
              </w:rPr>
              <w:t>- ефективне формування та управління процесами</w:t>
            </w:r>
          </w:p>
        </w:tc>
      </w:tr>
      <w:tr>
        <w:trPr/>
        <w:tc>
          <w:tcPr>
            <w:tcW w:w="9645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jc w:val="center"/>
              <w:rPr/>
            </w:pPr>
            <w:r>
              <w:rPr>
                <w:b/>
                <w:bCs/>
                <w:sz w:val="28"/>
                <w:szCs w:val="28"/>
              </w:rPr>
              <w:t>Професійні знання</w:t>
            </w:r>
          </w:p>
        </w:tc>
      </w:tr>
      <w:tr>
        <w:trPr/>
        <w:tc>
          <w:tcPr>
            <w:tcW w:w="282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jc w:val="center"/>
              <w:rPr/>
            </w:pPr>
            <w:r>
              <w:rPr>
                <w:b/>
                <w:bCs/>
                <w:sz w:val="28"/>
                <w:szCs w:val="28"/>
              </w:rPr>
              <w:t>Вимога</w:t>
            </w:r>
          </w:p>
        </w:tc>
        <w:tc>
          <w:tcPr>
            <w:tcW w:w="682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ind w:left="171" w:right="152" w:hanging="171"/>
              <w:jc w:val="center"/>
              <w:rPr/>
            </w:pPr>
            <w:r>
              <w:rPr>
                <w:b/>
                <w:bCs/>
                <w:sz w:val="28"/>
                <w:szCs w:val="28"/>
              </w:rPr>
              <w:t>Компоненти вимоги</w:t>
            </w:r>
          </w:p>
        </w:tc>
      </w:tr>
      <w:tr>
        <w:trPr/>
        <w:tc>
          <w:tcPr>
            <w:tcW w:w="5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3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6"/>
              <w:snapToGrid w:val="false"/>
              <w:jc w:val="both"/>
              <w:rPr/>
            </w:pPr>
            <w:r>
              <w:rPr>
                <w:b/>
                <w:bCs/>
                <w:sz w:val="28"/>
                <w:szCs w:val="28"/>
              </w:rPr>
              <w:t>Знання  законодавства</w:t>
            </w:r>
          </w:p>
        </w:tc>
        <w:tc>
          <w:tcPr>
            <w:tcW w:w="682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ind w:left="171" w:right="152" w:hanging="171"/>
              <w:rPr/>
            </w:pPr>
            <w:r>
              <w:rPr>
                <w:rFonts w:cs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cs="Times New Roman"/>
                <w:sz w:val="28"/>
                <w:szCs w:val="28"/>
                <w:lang w:val="uk-UA"/>
              </w:rPr>
              <w:t>Знання:</w:t>
            </w:r>
          </w:p>
          <w:p>
            <w:pPr>
              <w:pStyle w:val="Normal"/>
              <w:ind w:left="165" w:right="165" w:hanging="181"/>
              <w:rPr/>
            </w:pPr>
            <w:r>
              <w:rPr>
                <w:rFonts w:cs="Times New Roman"/>
                <w:sz w:val="28"/>
                <w:szCs w:val="28"/>
                <w:lang w:val="uk-UA"/>
              </w:rPr>
              <w:t>- Конституції України;</w:t>
            </w:r>
          </w:p>
          <w:p>
            <w:pPr>
              <w:pStyle w:val="Normal"/>
              <w:ind w:left="165" w:right="165" w:hanging="181"/>
              <w:rPr/>
            </w:pPr>
            <w:r>
              <w:rPr>
                <w:rFonts w:cs="Times New Roman"/>
                <w:sz w:val="28"/>
                <w:szCs w:val="28"/>
                <w:lang w:val="uk-UA"/>
              </w:rPr>
              <w:t>- Закону України “Про державну службу”;</w:t>
            </w:r>
          </w:p>
          <w:p>
            <w:pPr>
              <w:pStyle w:val="Normal"/>
              <w:snapToGrid w:val="false"/>
              <w:ind w:left="165" w:right="165" w:hanging="165"/>
              <w:rPr/>
            </w:pPr>
            <w:r>
              <w:rPr>
                <w:rFonts w:cs="Times New Roman"/>
                <w:sz w:val="28"/>
                <w:szCs w:val="28"/>
                <w:lang w:val="uk-UA"/>
              </w:rPr>
              <w:t>- Закону України “Про запобігання корупції” та іншого законодавства.</w:t>
            </w:r>
          </w:p>
        </w:tc>
      </w:tr>
      <w:tr>
        <w:trPr/>
        <w:tc>
          <w:tcPr>
            <w:tcW w:w="5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3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6"/>
              <w:snapToGrid w:val="false"/>
              <w:jc w:val="both"/>
              <w:rPr/>
            </w:pPr>
            <w:r>
              <w:rPr>
                <w:b/>
                <w:bCs/>
                <w:sz w:val="28"/>
                <w:szCs w:val="28"/>
              </w:rPr>
              <w:t>Знання законодавства у сфері</w:t>
            </w:r>
          </w:p>
        </w:tc>
        <w:tc>
          <w:tcPr>
            <w:tcW w:w="682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numPr>
                <w:ilvl w:val="0"/>
                <w:numId w:val="0"/>
              </w:numPr>
              <w:ind w:left="0" w:right="0" w:hanging="0"/>
              <w:jc w:val="both"/>
              <w:rPr/>
            </w:pPr>
            <w:r>
              <w:rPr>
                <w:rFonts w:cs="Times New Roman"/>
                <w:sz w:val="28"/>
                <w:szCs w:val="28"/>
                <w:shd w:fill="auto" w:val="clear"/>
                <w:lang w:val="uk-UA"/>
              </w:rPr>
              <w:t xml:space="preserve">- Закон України “Про доступ до публічної інформації”; </w:t>
            </w:r>
          </w:p>
          <w:p>
            <w:pPr>
              <w:pStyle w:val="Normal"/>
              <w:numPr>
                <w:ilvl w:val="0"/>
                <w:numId w:val="0"/>
              </w:numPr>
              <w:ind w:left="0" w:right="0" w:hanging="0"/>
              <w:jc w:val="both"/>
              <w:rPr/>
            </w:pPr>
            <w:r>
              <w:rPr>
                <w:rFonts w:cs="Times New Roman"/>
                <w:sz w:val="28"/>
                <w:szCs w:val="28"/>
                <w:lang w:val="uk-UA"/>
              </w:rPr>
              <w:t xml:space="preserve">- Закон України </w:t>
            </w:r>
            <w:r>
              <w:rPr>
                <w:rFonts w:cs="Times New Roman"/>
                <w:sz w:val="28"/>
                <w:szCs w:val="28"/>
                <w:shd w:fill="auto" w:val="clear"/>
                <w:lang w:val="uk-UA"/>
              </w:rPr>
              <w:t>“</w:t>
            </w:r>
            <w:r>
              <w:rPr>
                <w:rFonts w:cs="Times New Roman"/>
                <w:sz w:val="28"/>
                <w:szCs w:val="28"/>
                <w:lang w:val="uk-UA"/>
              </w:rPr>
              <w:t>Про загальнообов’язкове державне пенсійне страхування”;</w:t>
            </w:r>
          </w:p>
          <w:p>
            <w:pPr>
              <w:pStyle w:val="Normal"/>
              <w:numPr>
                <w:ilvl w:val="0"/>
                <w:numId w:val="0"/>
              </w:numPr>
              <w:ind w:left="0" w:right="0" w:hanging="0"/>
              <w:jc w:val="both"/>
              <w:rPr/>
            </w:pPr>
            <w:r>
              <w:rPr>
                <w:rFonts w:cs="Times New Roman"/>
                <w:sz w:val="28"/>
                <w:szCs w:val="28"/>
                <w:lang w:val="uk-UA"/>
              </w:rPr>
              <w:t xml:space="preserve">- Закон України </w:t>
            </w:r>
            <w:r>
              <w:rPr>
                <w:rFonts w:cs="Times New Roman"/>
                <w:sz w:val="28"/>
                <w:szCs w:val="28"/>
                <w:shd w:fill="auto" w:val="clear"/>
                <w:lang w:val="uk-UA"/>
              </w:rPr>
              <w:t>“</w:t>
            </w:r>
            <w:r>
              <w:rPr>
                <w:rFonts w:cs="Times New Roman"/>
                <w:sz w:val="28"/>
                <w:szCs w:val="28"/>
                <w:lang w:val="uk-UA"/>
              </w:rPr>
              <w:t>Про пенсійне забезпечення”;</w:t>
            </w:r>
          </w:p>
          <w:p>
            <w:pPr>
              <w:pStyle w:val="Normal"/>
              <w:numPr>
                <w:ilvl w:val="0"/>
                <w:numId w:val="0"/>
              </w:numPr>
              <w:ind w:left="0" w:right="0" w:hanging="0"/>
              <w:jc w:val="both"/>
              <w:rPr/>
            </w:pPr>
            <w:r>
              <w:rPr>
                <w:rFonts w:cs="Times New Roman"/>
                <w:sz w:val="28"/>
                <w:szCs w:val="28"/>
                <w:lang w:val="uk-UA"/>
              </w:rPr>
              <w:t xml:space="preserve">- Закон України </w:t>
            </w:r>
            <w:r>
              <w:rPr>
                <w:rFonts w:cs="Times New Roman"/>
                <w:sz w:val="28"/>
                <w:szCs w:val="28"/>
                <w:shd w:fill="auto" w:val="clear"/>
                <w:lang w:val="uk-UA"/>
              </w:rPr>
              <w:t>“</w:t>
            </w:r>
            <w:r>
              <w:rPr>
                <w:rFonts w:cs="Times New Roman"/>
                <w:sz w:val="28"/>
                <w:szCs w:val="28"/>
                <w:lang w:val="uk-UA"/>
              </w:rPr>
              <w:t>Про статус і соціальний захист громадян, які постраждали внаслідок Чорнобильської катастрофи”;</w:t>
            </w:r>
          </w:p>
          <w:p>
            <w:pPr>
              <w:pStyle w:val="Normal"/>
              <w:numPr>
                <w:ilvl w:val="0"/>
                <w:numId w:val="0"/>
              </w:numPr>
              <w:ind w:left="0" w:right="0" w:hanging="0"/>
              <w:jc w:val="both"/>
              <w:rPr/>
            </w:pPr>
            <w:r>
              <w:rPr>
                <w:rFonts w:cs="Times New Roman"/>
                <w:sz w:val="28"/>
                <w:szCs w:val="28"/>
                <w:lang w:val="uk-UA"/>
              </w:rPr>
              <w:t xml:space="preserve">- Закон України </w:t>
            </w:r>
            <w:bookmarkStart w:id="6" w:name="__DdeLink__4680_25888853491"/>
            <w:r>
              <w:rPr>
                <w:rFonts w:cs="Times New Roman"/>
                <w:sz w:val="28"/>
                <w:szCs w:val="28"/>
                <w:shd w:fill="auto" w:val="clear"/>
                <w:lang w:val="uk-UA"/>
              </w:rPr>
              <w:t>“</w:t>
            </w:r>
            <w:bookmarkEnd w:id="6"/>
            <w:r>
              <w:rPr>
                <w:rFonts w:cs="Times New Roman"/>
                <w:sz w:val="28"/>
                <w:szCs w:val="28"/>
                <w:lang w:val="uk-UA"/>
              </w:rPr>
              <w:t>Про збір на обов</w:t>
            </w:r>
            <w:r>
              <w:rPr>
                <w:rFonts w:cs="Times New Roman"/>
                <w:sz w:val="28"/>
                <w:szCs w:val="28"/>
                <w:lang w:val="ru-RU"/>
              </w:rPr>
              <w:t>'</w:t>
            </w:r>
            <w:r>
              <w:rPr>
                <w:rFonts w:cs="Times New Roman"/>
                <w:sz w:val="28"/>
                <w:szCs w:val="28"/>
                <w:lang w:val="uk-UA"/>
              </w:rPr>
              <w:t>язкове державне пенсійне страхування”;</w:t>
            </w:r>
          </w:p>
          <w:p>
            <w:pPr>
              <w:pStyle w:val="Normal"/>
              <w:jc w:val="both"/>
              <w:rPr/>
            </w:pPr>
            <w:r>
              <w:rPr>
                <w:rFonts w:cs="Times New Roman"/>
                <w:sz w:val="28"/>
                <w:szCs w:val="28"/>
                <w:lang w:val="uk-UA"/>
              </w:rPr>
              <w:t>- Закон України “Про судоустрій та статус суддів”;- Закон України “Про прокуратуру”;</w:t>
            </w:r>
          </w:p>
          <w:p>
            <w:pPr>
              <w:pStyle w:val="Normal"/>
              <w:ind w:left="171" w:right="152" w:hanging="171"/>
              <w:jc w:val="both"/>
              <w:rPr/>
            </w:pPr>
            <w:r>
              <w:rPr>
                <w:rFonts w:cs="Times New Roman"/>
                <w:sz w:val="28"/>
                <w:szCs w:val="28"/>
                <w:lang w:val="uk-UA"/>
              </w:rPr>
              <w:t>- Закон України “Про наукову і науково-технічну діяльність”;</w:t>
            </w:r>
          </w:p>
          <w:p>
            <w:pPr>
              <w:pStyle w:val="Normal"/>
              <w:jc w:val="both"/>
              <w:rPr/>
            </w:pPr>
            <w:r>
              <w:rPr>
                <w:rFonts w:cs="Times New Roman"/>
                <w:sz w:val="28"/>
                <w:szCs w:val="28"/>
                <w:lang w:val="uk-UA"/>
              </w:rPr>
              <w:t>- Закон України “Про державну підтримку засобів масової інформації та соціальний захист журналістів”;</w:t>
            </w:r>
          </w:p>
          <w:p>
            <w:pPr>
              <w:pStyle w:val="Normal"/>
              <w:jc w:val="both"/>
              <w:rPr/>
            </w:pPr>
            <w:r>
              <w:rPr>
                <w:rFonts w:cs="Times New Roman"/>
                <w:sz w:val="28"/>
                <w:szCs w:val="28"/>
                <w:lang w:val="uk-UA"/>
              </w:rPr>
              <w:t>- Закон України “Про національний банк України”;</w:t>
            </w:r>
          </w:p>
          <w:p>
            <w:pPr>
              <w:pStyle w:val="Normal"/>
              <w:jc w:val="both"/>
              <w:rPr/>
            </w:pPr>
            <w:r>
              <w:rPr>
                <w:rFonts w:cs="Times New Roman"/>
                <w:sz w:val="28"/>
                <w:szCs w:val="28"/>
                <w:lang w:val="uk-UA"/>
              </w:rPr>
              <w:t>- Закон України “Про службу в органах місцевого самоврядування”;</w:t>
            </w:r>
          </w:p>
          <w:p>
            <w:pPr>
              <w:pStyle w:val="Normal"/>
              <w:jc w:val="both"/>
              <w:rPr/>
            </w:pPr>
            <w:r>
              <w:rPr>
                <w:rFonts w:cs="Times New Roman"/>
                <w:sz w:val="28"/>
                <w:szCs w:val="28"/>
                <w:lang w:val="uk-UA"/>
              </w:rPr>
              <w:t>- Закон України “Про пенсійне забезпечення осіб, звільнених з військової служби та деяких інших осіб”;</w:t>
            </w:r>
          </w:p>
          <w:p>
            <w:pPr>
              <w:pStyle w:val="Normal"/>
              <w:jc w:val="both"/>
              <w:rPr/>
            </w:pPr>
            <w:r>
              <w:rPr>
                <w:rFonts w:cs="Times New Roman"/>
                <w:sz w:val="28"/>
                <w:szCs w:val="28"/>
                <w:lang w:val="uk-UA"/>
              </w:rPr>
              <w:t>- Закон України “Про статус народного депутата України”;</w:t>
            </w:r>
          </w:p>
          <w:p>
            <w:pPr>
              <w:pStyle w:val="Normal"/>
              <w:jc w:val="both"/>
              <w:rPr/>
            </w:pPr>
            <w:r>
              <w:rPr>
                <w:rFonts w:cs="Times New Roman"/>
                <w:sz w:val="28"/>
                <w:szCs w:val="28"/>
                <w:lang w:val="uk-UA"/>
              </w:rPr>
              <w:t>- Закон України “Про судову експертизу”;</w:t>
            </w:r>
          </w:p>
          <w:p>
            <w:pPr>
              <w:pStyle w:val="Normal"/>
              <w:jc w:val="both"/>
              <w:rPr/>
            </w:pPr>
            <w:r>
              <w:rPr>
                <w:rFonts w:cs="Times New Roman"/>
                <w:sz w:val="28"/>
                <w:szCs w:val="28"/>
                <w:lang w:val="uk-UA"/>
              </w:rPr>
              <w:t>- Закон України “Про дипломатичну службу”;</w:t>
            </w:r>
          </w:p>
          <w:p>
            <w:pPr>
              <w:pStyle w:val="Normal"/>
              <w:jc w:val="both"/>
              <w:rPr/>
            </w:pPr>
            <w:r>
              <w:rPr>
                <w:rFonts w:cs="Times New Roman"/>
                <w:sz w:val="28"/>
                <w:szCs w:val="28"/>
                <w:lang w:val="uk-UA"/>
              </w:rPr>
              <w:t>- Закон України “Про Кабінет Міністрів України”;</w:t>
            </w:r>
          </w:p>
          <w:p>
            <w:pPr>
              <w:pStyle w:val="Normal"/>
              <w:jc w:val="both"/>
              <w:rPr/>
            </w:pPr>
            <w:r>
              <w:rPr>
                <w:rFonts w:cs="Times New Roman"/>
                <w:sz w:val="28"/>
                <w:szCs w:val="28"/>
                <w:lang w:val="uk-UA"/>
              </w:rPr>
              <w:t>- Митного кодексу України;</w:t>
            </w:r>
          </w:p>
          <w:p>
            <w:pPr>
              <w:pStyle w:val="Normal"/>
              <w:ind w:left="171" w:right="152" w:hanging="171"/>
              <w:jc w:val="both"/>
              <w:rPr/>
            </w:pPr>
            <w:r>
              <w:rPr>
                <w:rFonts w:cs="Times New Roman"/>
                <w:sz w:val="28"/>
                <w:szCs w:val="28"/>
                <w:shd w:fill="auto" w:val="clear"/>
                <w:lang w:val="uk-UA"/>
              </w:rPr>
              <w:t xml:space="preserve">- Порядку </w:t>
            </w:r>
            <w:r>
              <w:rPr>
                <w:rFonts w:cs="Times New Roman"/>
                <w:sz w:val="28"/>
                <w:szCs w:val="28"/>
                <w:shd w:fill="auto" w:val="clear"/>
                <w:lang w:val="ru-RU"/>
              </w:rPr>
              <w:t xml:space="preserve">подання та оформлення документів для призначення (перерахунку) пенсій відповідно до Закону України </w:t>
            </w:r>
            <w:r>
              <w:rPr>
                <w:rFonts w:cs="Times New Roman"/>
                <w:sz w:val="28"/>
                <w:szCs w:val="28"/>
                <w:shd w:fill="auto" w:val="clear"/>
                <w:lang w:val="uk-UA"/>
              </w:rPr>
              <w:t>“</w:t>
            </w:r>
            <w:r>
              <w:rPr>
                <w:rFonts w:cs="Times New Roman"/>
                <w:sz w:val="28"/>
                <w:szCs w:val="28"/>
                <w:shd w:fill="auto" w:val="clear"/>
                <w:lang w:val="ru-RU"/>
              </w:rPr>
              <w:t>Про загальнообов'язкове державне пенсійне страхування</w:t>
            </w:r>
            <w:r>
              <w:rPr>
                <w:rFonts w:cs="Times New Roman"/>
                <w:sz w:val="28"/>
                <w:szCs w:val="28"/>
                <w:shd w:fill="auto" w:val="clear"/>
                <w:lang w:val="uk-UA"/>
              </w:rPr>
              <w:t>”</w:t>
            </w:r>
            <w:r>
              <w:rPr>
                <w:rFonts w:cs="Times New Roman"/>
                <w:sz w:val="28"/>
                <w:szCs w:val="28"/>
                <w:shd w:fill="auto" w:val="clear"/>
                <w:lang w:val="ru-RU"/>
              </w:rPr>
              <w:t xml:space="preserve"> </w:t>
            </w:r>
            <w:r>
              <w:rPr>
                <w:rFonts w:cs="Times New Roman"/>
                <w:sz w:val="28"/>
                <w:szCs w:val="28"/>
                <w:shd w:fill="auto" w:val="clear"/>
                <w:lang w:val="uk-UA"/>
              </w:rPr>
              <w:t>затвердженого</w:t>
            </w:r>
            <w:r>
              <w:rPr>
                <w:rFonts w:cs="Times New Roman"/>
                <w:sz w:val="28"/>
                <w:szCs w:val="28"/>
                <w:shd w:fill="auto" w:val="clear"/>
                <w:lang w:val="ru-RU"/>
              </w:rPr>
              <w:t xml:space="preserve"> </w:t>
            </w:r>
            <w:r>
              <w:rPr>
                <w:rFonts w:cs="Times New Roman"/>
                <w:sz w:val="28"/>
                <w:szCs w:val="28"/>
                <w:shd w:fill="auto" w:val="clear"/>
                <w:lang w:val="uk-UA"/>
              </w:rPr>
              <w:t>Постановою</w:t>
            </w:r>
            <w:r>
              <w:rPr>
                <w:rFonts w:cs="Times New Roman"/>
                <w:sz w:val="28"/>
                <w:szCs w:val="28"/>
                <w:shd w:fill="auto" w:val="clear"/>
                <w:lang w:val="ru-RU"/>
              </w:rPr>
              <w:t xml:space="preserve"> правління Пенсійного фонду України 25.11.2005 № 22-1</w:t>
            </w:r>
            <w:r>
              <w:rPr>
                <w:rFonts w:cs="Times New Roman"/>
                <w:sz w:val="28"/>
                <w:szCs w:val="28"/>
                <w:shd w:fill="auto" w:val="clear"/>
                <w:lang w:val="uk-UA"/>
              </w:rPr>
              <w:t>.</w:t>
            </w:r>
          </w:p>
        </w:tc>
      </w:tr>
    </w:tbl>
    <w:p>
      <w:pPr>
        <w:pStyle w:val="Normal"/>
        <w:rPr/>
      </w:pPr>
      <w:r>
        <w:rPr/>
      </w:r>
    </w:p>
    <w:sectPr>
      <w:type w:val="nextPage"/>
      <w:pgSz w:w="11906" w:h="16838"/>
      <w:pgMar w:left="1701" w:right="567" w:header="0" w:top="600" w:footer="0" w:bottom="578" w:gutter="0"/>
      <w:pgNumType w:fmt="decimal"/>
      <w:formProt w:val="false"/>
      <w:textDirection w:val="lrTb"/>
      <w:docGrid w:type="default" w:linePitch="6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  <w:font w:name="OpenSymbol">
    <w:altName w:val="Arial Unicode MS"/>
    <w:charset w:val="cc"/>
    <w:family w:val="roman"/>
    <w:pitch w:val="variable"/>
  </w:font>
  <w:font w:name="Arial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576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720"/>
      </w:pPr>
    </w:lvl>
    <w:lvl w:ilvl="3">
      <w:start w:val="1"/>
      <w:pStyle w:val="4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fals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Cs w:val="24"/>
        <w:lang w:val="uk-UA" w:eastAsia="zh-CN" w:bidi="hi-IN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overflowPunct w:val="false"/>
      <w:bidi w:val="0"/>
      <w:jc w:val="left"/>
    </w:pPr>
    <w:rPr>
      <w:rFonts w:ascii="Times New Roman" w:hAnsi="Times New Roman" w:eastAsia="Times New Roman" w:cs="Times New Roman"/>
      <w:color w:val="000000"/>
      <w:kern w:val="0"/>
      <w:sz w:val="24"/>
      <w:szCs w:val="24"/>
      <w:lang w:val="uk-UA" w:eastAsia="zh-CN" w:bidi="ar-SA"/>
    </w:rPr>
  </w:style>
  <w:style w:type="paragraph" w:styleId="2">
    <w:name w:val="Heading 2"/>
    <w:basedOn w:val="Normal"/>
    <w:qFormat/>
    <w:pPr>
      <w:keepNext w:val="true"/>
      <w:numPr>
        <w:ilvl w:val="1"/>
        <w:numId w:val="1"/>
      </w:numPr>
      <w:spacing w:lineRule="auto" w:line="276"/>
      <w:jc w:val="center"/>
      <w:outlineLvl w:val="1"/>
    </w:pPr>
    <w:rPr>
      <w:rFonts w:eastAsia="Calibri"/>
      <w:b/>
      <w:sz w:val="28"/>
      <w:szCs w:val="28"/>
      <w:lang w:val="ru-RU"/>
    </w:rPr>
  </w:style>
  <w:style w:type="paragraph" w:styleId="3">
    <w:name w:val="Heading 3"/>
    <w:basedOn w:val="Normal"/>
    <w:qFormat/>
    <w:pPr>
      <w:keepNext w:val="true"/>
      <w:numPr>
        <w:ilvl w:val="2"/>
        <w:numId w:val="1"/>
      </w:numPr>
      <w:jc w:val="right"/>
      <w:outlineLvl w:val="2"/>
    </w:pPr>
    <w:rPr>
      <w:b/>
      <w:sz w:val="28"/>
      <w:szCs w:val="20"/>
    </w:rPr>
  </w:style>
  <w:style w:type="paragraph" w:styleId="4">
    <w:name w:val="Heading 4"/>
    <w:basedOn w:val="Style18"/>
    <w:qFormat/>
    <w:pPr>
      <w:numPr>
        <w:ilvl w:val="3"/>
        <w:numId w:val="1"/>
      </w:numPr>
      <w:spacing w:before="120" w:after="120"/>
      <w:outlineLvl w:val="3"/>
    </w:pPr>
    <w:rPr>
      <w:b/>
      <w:bCs/>
      <w:i/>
      <w:iCs/>
      <w:sz w:val="27"/>
      <w:szCs w:val="27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Style11" w:customStyle="1">
    <w:name w:val="Символ нумерации"/>
    <w:qFormat/>
    <w:rPr/>
  </w:style>
  <w:style w:type="character" w:styleId="Style12" w:customStyle="1">
    <w:name w:val="Текст выноски Знак"/>
    <w:basedOn w:val="DefaultParagraphFont"/>
    <w:link w:val="af"/>
    <w:uiPriority w:val="99"/>
    <w:semiHidden/>
    <w:qFormat/>
    <w:rsid w:val="00eb5a88"/>
    <w:rPr>
      <w:rFonts w:ascii="Tahoma" w:hAnsi="Tahoma" w:eastAsia="Times New Roman" w:cs="Tahoma"/>
      <w:color w:val="000000"/>
      <w:sz w:val="16"/>
      <w:szCs w:val="16"/>
      <w:lang w:bidi="ar-SA"/>
    </w:rPr>
  </w:style>
  <w:style w:type="character" w:styleId="FontStyle15">
    <w:name w:val="Font Style15"/>
    <w:qFormat/>
    <w:rPr>
      <w:rFonts w:ascii="Times New Roman" w:hAnsi="Times New Roman" w:cs="Times New Roman"/>
      <w:sz w:val="24"/>
      <w:szCs w:val="24"/>
    </w:rPr>
  </w:style>
  <w:style w:type="character" w:styleId="Style13">
    <w:name w:val="Интернет-ссылка"/>
    <w:qFormat/>
    <w:rPr>
      <w:color w:val="000080"/>
      <w:u w:val="single"/>
      <w:lang w:val="zxx" w:eastAsia="zxx" w:bidi="zxx"/>
    </w:rPr>
  </w:style>
  <w:style w:type="character" w:styleId="Style14">
    <w:name w:val="Выделение"/>
    <w:qFormat/>
    <w:rPr>
      <w:i/>
      <w:iCs/>
    </w:rPr>
  </w:style>
  <w:style w:type="character" w:styleId="Style15">
    <w:name w:val="Гіперпосилання"/>
    <w:rPr>
      <w:color w:val="000080"/>
      <w:u w:val="single"/>
      <w:lang w:val="zxx" w:eastAsia="zxx" w:bidi="zxx"/>
    </w:rPr>
  </w:style>
  <w:style w:type="character" w:styleId="WW">
    <w:name w:val="WW-Гіперпосилання"/>
    <w:qFormat/>
    <w:rPr>
      <w:color w:val="000080"/>
      <w:u w:val="single"/>
      <w:lang w:val="zxx" w:eastAsia="zxx" w:bidi="zxx"/>
    </w:rPr>
  </w:style>
  <w:style w:type="character" w:styleId="ListLabel1">
    <w:name w:val="ListLabel 1"/>
    <w:qFormat/>
    <w:rPr>
      <w:b w:val="false"/>
      <w:i w:val="false"/>
      <w:caps w:val="false"/>
      <w:smallCaps w:val="false"/>
      <w:strike w:val="false"/>
      <w:dstrike w:val="false"/>
      <w:color w:val="000000"/>
      <w:spacing w:val="0"/>
      <w:sz w:val="28"/>
      <w:u w:val="none"/>
      <w:lang w:val="uk-UA"/>
    </w:rPr>
  </w:style>
  <w:style w:type="character" w:styleId="ListLabel2">
    <w:name w:val="ListLabel 2"/>
    <w:qFormat/>
    <w:rPr>
      <w:b w:val="false"/>
      <w:bCs w:val="false"/>
      <w:i w:val="false"/>
      <w:caps w:val="false"/>
      <w:smallCaps w:val="false"/>
      <w:strike w:val="false"/>
      <w:dstrike w:val="false"/>
      <w:color w:val="000000"/>
      <w:spacing w:val="0"/>
      <w:sz w:val="28"/>
      <w:u w:val="none"/>
      <w:lang w:val="uk-UA"/>
    </w:rPr>
  </w:style>
  <w:style w:type="character" w:styleId="ListLabel3">
    <w:name w:val="ListLabel 3"/>
    <w:qFormat/>
    <w:rPr>
      <w:b w:val="false"/>
      <w:i w:val="false"/>
      <w:caps w:val="false"/>
      <w:smallCaps w:val="false"/>
      <w:strike w:val="false"/>
      <w:dstrike w:val="false"/>
      <w:color w:val="000000"/>
      <w:spacing w:val="0"/>
      <w:sz w:val="28"/>
      <w:u w:val="none"/>
      <w:lang w:val="uk-UA"/>
    </w:rPr>
  </w:style>
  <w:style w:type="character" w:styleId="ListLabel4">
    <w:name w:val="ListLabel 4"/>
    <w:qFormat/>
    <w:rPr>
      <w:b w:val="false"/>
      <w:bCs w:val="false"/>
      <w:i w:val="false"/>
      <w:caps w:val="false"/>
      <w:smallCaps w:val="false"/>
      <w:strike w:val="false"/>
      <w:dstrike w:val="false"/>
      <w:color w:val="000000"/>
      <w:spacing w:val="0"/>
      <w:sz w:val="28"/>
      <w:u w:val="none"/>
      <w:lang w:val="uk-UA"/>
    </w:rPr>
  </w:style>
  <w:style w:type="character" w:styleId="ListLabel15">
    <w:name w:val="ListLabel 15"/>
    <w:qFormat/>
    <w:rPr>
      <w:b w:val="false"/>
      <w:bCs w:val="false"/>
      <w:i w:val="false"/>
      <w:caps w:val="false"/>
      <w:smallCaps w:val="false"/>
      <w:strike w:val="false"/>
      <w:dstrike w:val="false"/>
      <w:color w:val="000000"/>
      <w:spacing w:val="0"/>
      <w:sz w:val="28"/>
      <w:u w:val="none"/>
      <w:lang w:val="uk-UA"/>
    </w:rPr>
  </w:style>
  <w:style w:type="character" w:styleId="ListLabel14">
    <w:name w:val="ListLabel 14"/>
    <w:qFormat/>
    <w:rPr>
      <w:b w:val="false"/>
      <w:i w:val="false"/>
      <w:caps w:val="false"/>
      <w:smallCaps w:val="false"/>
      <w:strike w:val="false"/>
      <w:dstrike w:val="false"/>
      <w:color w:val="000000"/>
      <w:spacing w:val="0"/>
      <w:sz w:val="28"/>
      <w:u w:val="none"/>
      <w:lang w:val="uk-UA"/>
    </w:rPr>
  </w:style>
  <w:style w:type="character" w:styleId="ListLabel13">
    <w:name w:val="ListLabel 13"/>
    <w:qFormat/>
    <w:rPr>
      <w:b/>
      <w:i w:val="false"/>
      <w:caps w:val="false"/>
      <w:smallCaps w:val="false"/>
      <w:strike w:val="false"/>
      <w:dstrike w:val="false"/>
      <w:color w:val="000000"/>
      <w:spacing w:val="0"/>
      <w:sz w:val="28"/>
      <w:u w:val="none"/>
      <w:lang w:val="uk-UA"/>
    </w:rPr>
  </w:style>
  <w:style w:type="character" w:styleId="ListLabel12">
    <w:name w:val="ListLabel 12"/>
    <w:qFormat/>
    <w:rPr>
      <w:b w:val="false"/>
      <w:i w:val="false"/>
      <w:caps w:val="false"/>
      <w:smallCaps w:val="false"/>
      <w:strike w:val="false"/>
      <w:dstrike w:val="false"/>
      <w:color w:val="000000"/>
      <w:spacing w:val="0"/>
      <w:sz w:val="28"/>
      <w:u w:val="none"/>
      <w:lang w:val="uk-UA"/>
    </w:rPr>
  </w:style>
  <w:style w:type="character" w:styleId="ListLabel11">
    <w:name w:val="ListLabel 11"/>
    <w:qFormat/>
    <w:rPr>
      <w:rFonts w:ascii="Times New Roman" w:hAnsi="Times New Roman" w:cs="Times New Roman"/>
      <w:b/>
      <w:i w:val="false"/>
      <w:caps w:val="false"/>
      <w:smallCaps w:val="false"/>
      <w:strike w:val="false"/>
      <w:dstrike w:val="false"/>
      <w:color w:val="000000"/>
      <w:spacing w:val="0"/>
      <w:sz w:val="28"/>
      <w:u w:val="none"/>
      <w:lang w:val="uk-UA"/>
    </w:rPr>
  </w:style>
  <w:style w:type="character" w:styleId="ListLabel10">
    <w:name w:val="ListLabel 10"/>
    <w:qFormat/>
    <w:rPr>
      <w:rFonts w:ascii="Times New Roman" w:hAnsi="Times New Roman" w:cs="Times New Roman"/>
      <w:b w:val="false"/>
      <w:i w:val="false"/>
      <w:caps w:val="false"/>
      <w:smallCaps w:val="false"/>
      <w:strike w:val="false"/>
      <w:dstrike w:val="false"/>
      <w:color w:val="000000"/>
      <w:spacing w:val="0"/>
      <w:sz w:val="28"/>
      <w:u w:val="none"/>
      <w:lang w:val="uk-UA"/>
    </w:rPr>
  </w:style>
  <w:style w:type="character" w:styleId="ListLabel9">
    <w:name w:val="ListLabel 9"/>
    <w:qFormat/>
    <w:rPr>
      <w:rFonts w:cs="OpenSymbol;Arial Unicode MS"/>
    </w:rPr>
  </w:style>
  <w:style w:type="character" w:styleId="ListLabel8">
    <w:name w:val="ListLabel 8"/>
    <w:qFormat/>
    <w:rPr>
      <w:rFonts w:cs="OpenSymbol;Arial Unicode MS"/>
    </w:rPr>
  </w:style>
  <w:style w:type="character" w:styleId="ListLabel7">
    <w:name w:val="ListLabel 7"/>
    <w:qFormat/>
    <w:rPr>
      <w:rFonts w:cs="OpenSymbol;Arial Unicode MS"/>
    </w:rPr>
  </w:style>
  <w:style w:type="character" w:styleId="ListLabel6">
    <w:name w:val="ListLabel 6"/>
    <w:qFormat/>
    <w:rPr>
      <w:rFonts w:cs="OpenSymbol;Arial Unicode MS"/>
    </w:rPr>
  </w:style>
  <w:style w:type="character" w:styleId="ListLabel5">
    <w:name w:val="ListLabel 5"/>
    <w:qFormat/>
    <w:rPr>
      <w:rFonts w:cs="OpenSymbol;Arial Unicode MS"/>
    </w:rPr>
  </w:style>
  <w:style w:type="character" w:styleId="Style16">
    <w:name w:val="Маркери списку"/>
    <w:qFormat/>
    <w:rPr>
      <w:rFonts w:ascii="OpenSymbol;Arial Unicode MS" w:hAnsi="OpenSymbol;Arial Unicode MS" w:eastAsia="OpenSymbol;Arial Unicode MS" w:cs="OpenSymbol;Arial Unicode MS"/>
    </w:rPr>
  </w:style>
  <w:style w:type="character" w:styleId="WW1">
    <w:name w:val="WW-Виділення"/>
    <w:qFormat/>
    <w:rPr>
      <w:i/>
      <w:iCs/>
    </w:rPr>
  </w:style>
  <w:style w:type="character" w:styleId="Style17">
    <w:name w:val="Виділення"/>
    <w:qFormat/>
    <w:rPr>
      <w:i/>
      <w:iCs/>
    </w:rPr>
  </w:style>
  <w:style w:type="character" w:styleId="ListLabel16">
    <w:name w:val="ListLabel 16"/>
    <w:qFormat/>
    <w:rPr>
      <w:b w:val="false"/>
      <w:i w:val="false"/>
      <w:caps w:val="false"/>
      <w:smallCaps w:val="false"/>
      <w:strike w:val="false"/>
      <w:dstrike w:val="false"/>
      <w:color w:val="000000"/>
      <w:spacing w:val="0"/>
      <w:sz w:val="28"/>
      <w:u w:val="none"/>
      <w:lang w:val="uk-UA"/>
    </w:rPr>
  </w:style>
  <w:style w:type="character" w:styleId="ListLabel17">
    <w:name w:val="ListLabel 17"/>
    <w:qFormat/>
    <w:rPr>
      <w:b w:val="false"/>
      <w:bCs w:val="false"/>
      <w:i w:val="false"/>
      <w:caps w:val="false"/>
      <w:smallCaps w:val="false"/>
      <w:strike w:val="false"/>
      <w:dstrike w:val="false"/>
      <w:color w:val="000000"/>
      <w:spacing w:val="0"/>
      <w:sz w:val="28"/>
      <w:u w:val="none"/>
      <w:lang w:val="uk-UA"/>
    </w:rPr>
  </w:style>
  <w:style w:type="paragraph" w:styleId="Style18" w:customStyle="1">
    <w:name w:val="Заголовок"/>
    <w:basedOn w:val="Normal"/>
    <w:next w:val="Style19"/>
    <w:qFormat/>
    <w:pPr>
      <w:keepNext w:val="true"/>
      <w:spacing w:before="240" w:after="120"/>
    </w:pPr>
    <w:rPr>
      <w:rFonts w:ascii="Arial" w:hAnsi="Arial" w:eastAsia="Lucida Sans Unicode" w:cs="Mangal"/>
      <w:sz w:val="28"/>
      <w:szCs w:val="28"/>
    </w:rPr>
  </w:style>
  <w:style w:type="paragraph" w:styleId="Style19">
    <w:name w:val="Body Text"/>
    <w:basedOn w:val="Normal"/>
    <w:pPr>
      <w:jc w:val="both"/>
    </w:pPr>
    <w:rPr>
      <w:sz w:val="28"/>
    </w:rPr>
  </w:style>
  <w:style w:type="paragraph" w:styleId="Style20">
    <w:name w:val="List"/>
    <w:basedOn w:val="Style19"/>
    <w:pPr/>
    <w:rPr>
      <w:rFonts w:cs="Mangal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2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Mangal"/>
    </w:rPr>
  </w:style>
  <w:style w:type="paragraph" w:styleId="Index1">
    <w:name w:val="index 1"/>
    <w:basedOn w:val="Normal"/>
    <w:qFormat/>
    <w:pPr>
      <w:spacing w:lineRule="atLeast" w:line="240"/>
      <w:ind w:right="-6" w:hanging="0"/>
      <w:jc w:val="center"/>
    </w:pPr>
    <w:rPr>
      <w:b/>
      <w:sz w:val="28"/>
      <w:szCs w:val="20"/>
      <w:lang w:val="ru-RU"/>
    </w:rPr>
  </w:style>
  <w:style w:type="paragraph" w:styleId="Style23" w:customStyle="1">
    <w:name w:val="Содержимое таблицы"/>
    <w:basedOn w:val="Normal"/>
    <w:qFormat/>
    <w:pPr>
      <w:suppressLineNumbers/>
    </w:pPr>
    <w:rPr/>
  </w:style>
  <w:style w:type="paragraph" w:styleId="Style24" w:customStyle="1">
    <w:name w:val="Заголовок таблицы"/>
    <w:basedOn w:val="Style23"/>
    <w:qFormat/>
    <w:pPr>
      <w:jc w:val="center"/>
    </w:pPr>
    <w:rPr>
      <w:b/>
      <w:bCs/>
    </w:rPr>
  </w:style>
  <w:style w:type="paragraph" w:styleId="Style25">
    <w:name w:val="Body Text Indent"/>
    <w:basedOn w:val="Normal"/>
    <w:pPr>
      <w:spacing w:before="0" w:after="120"/>
      <w:ind w:left="283" w:hanging="0"/>
    </w:pPr>
    <w:rPr/>
  </w:style>
  <w:style w:type="paragraph" w:styleId="WW2" w:customStyle="1">
    <w:name w:val="WW-Базовый"/>
    <w:qFormat/>
    <w:pPr>
      <w:widowControl w:val="false"/>
      <w:suppressAutoHyphens w:val="true"/>
      <w:overflowPunct w:val="false"/>
      <w:bidi w:val="0"/>
      <w:jc w:val="left"/>
    </w:pPr>
    <w:rPr>
      <w:rFonts w:ascii="Times New Roman" w:hAnsi="Times New Roman" w:eastAsia="Times New Roman" w:cs="Times New Roman"/>
      <w:color w:val="000000"/>
      <w:kern w:val="0"/>
      <w:sz w:val="24"/>
      <w:szCs w:val="24"/>
      <w:lang w:val="ru-RU" w:eastAsia="hi-IN" w:bidi="hi-IN"/>
    </w:rPr>
  </w:style>
  <w:style w:type="paragraph" w:styleId="BodyTextIndent3">
    <w:name w:val="Body Text Indent 3"/>
    <w:basedOn w:val="WW2"/>
    <w:qFormat/>
    <w:pPr>
      <w:ind w:left="4678" w:hanging="0"/>
      <w:jc w:val="center"/>
      <w:textAlignment w:val="baseline"/>
    </w:pPr>
    <w:rPr>
      <w:sz w:val="28"/>
      <w:lang w:eastAsia="ru-RU"/>
    </w:rPr>
  </w:style>
  <w:style w:type="paragraph" w:styleId="Style26" w:customStyle="1">
    <w:name w:val="Вміст таблиці"/>
    <w:basedOn w:val="Normal"/>
    <w:qFormat/>
    <w:pPr>
      <w:suppressLineNumbers/>
    </w:pPr>
    <w:rPr/>
  </w:style>
  <w:style w:type="paragraph" w:styleId="Style27" w:customStyle="1">
    <w:name w:val="Заголовок таблиці"/>
    <w:basedOn w:val="Style26"/>
    <w:qFormat/>
    <w:pPr>
      <w:jc w:val="center"/>
    </w:pPr>
    <w:rPr>
      <w:b/>
      <w:bCs/>
    </w:rPr>
  </w:style>
  <w:style w:type="paragraph" w:styleId="BalloonText">
    <w:name w:val="Balloon Text"/>
    <w:basedOn w:val="Normal"/>
    <w:link w:val="af0"/>
    <w:uiPriority w:val="99"/>
    <w:semiHidden/>
    <w:unhideWhenUsed/>
    <w:qFormat/>
    <w:rsid w:val="00eb5a88"/>
    <w:pPr/>
    <w:rPr>
      <w:rFonts w:ascii="Tahoma" w:hAnsi="Tahoma" w:cs="Tahoma"/>
      <w:sz w:val="16"/>
      <w:szCs w:val="16"/>
    </w:rPr>
  </w:style>
  <w:style w:type="paragraph" w:styleId="Style28">
    <w:name w:val="Обычный (веб)"/>
    <w:basedOn w:val="Normal"/>
    <w:qFormat/>
    <w:pPr>
      <w:spacing w:before="280" w:after="280"/>
    </w:pPr>
    <w:rPr>
      <w:sz w:val="24"/>
      <w:szCs w:val="24"/>
      <w:lang w:val="ru-RU"/>
    </w:rPr>
  </w:style>
  <w:style w:type="paragraph" w:styleId="Style29">
    <w:name w:val="Основной текст"/>
    <w:basedOn w:val="Normal"/>
    <w:qFormat/>
    <w:pPr>
      <w:spacing w:lineRule="auto" w:line="288" w:before="0" w:after="140"/>
    </w:pPr>
    <w:rPr/>
  </w:style>
  <w:style w:type="paragraph" w:styleId="Rvps12">
    <w:name w:val="rvps12"/>
    <w:basedOn w:val="Normal"/>
    <w:qFormat/>
    <w:pPr>
      <w:spacing w:before="280" w:after="280"/>
    </w:pPr>
    <w:rPr/>
  </w:style>
  <w:style w:type="paragraph" w:styleId="Style30">
    <w:name w:val="Указатель"/>
    <w:basedOn w:val="Normal"/>
    <w:qFormat/>
    <w:pPr>
      <w:suppressLineNumbers/>
    </w:pPr>
    <w:rPr>
      <w:rFonts w:cs="Mangal"/>
    </w:rPr>
  </w:style>
  <w:style w:type="paragraph" w:styleId="Style31">
    <w:name w:val="Название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Application>LibreOffice/5.4.4.2$Windows_X86_64 LibreOffice_project/2524958677847fb3bb44820e40380acbe820f960</Application>
  <Pages>4</Pages>
  <Words>895</Words>
  <Characters>5950</Characters>
  <CharactersWithSpaces>6762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2020-10-27T16:50:00Z</dcterms:created>
  <dc:creator>kadr2</dc:creator>
  <dc:description/>
  <dc:language>uk-UA</dc:language>
  <cp:lastModifiedBy/>
  <cp:lastPrinted>2021-08-27T15:39:50Z</cp:lastPrinted>
  <dcterms:modified xsi:type="dcterms:W3CDTF">2021-12-17T13:52:56Z</dcterms:modified>
  <cp:revision>54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