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</w:r>
    </w:p>
    <w:tbl>
      <w:tblPr>
        <w:tblW w:w="9738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323"/>
        <w:gridCol w:w="4368"/>
      </w:tblGrid>
      <w:tr>
        <w:trPr/>
        <w:tc>
          <w:tcPr>
            <w:tcW w:w="3047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2323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b/>
                <w:b/>
                <w:bCs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4368" w:type="dxa"/>
            <w:tcBorders/>
            <w:shd w:fill="FFFFFF" w:val="clear"/>
          </w:tcPr>
          <w:p>
            <w:pPr>
              <w:pStyle w:val="Normal"/>
              <w:spacing w:lineRule="auto" w:line="240" w:before="0" w:after="0"/>
              <w:ind w:left="-108" w:right="-284" w:hanging="0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ЗАТВЕРДЖЕНО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/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Наказ Головного управління Пенсійного фонду України в Рівненській області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/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20.01.2022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66</w:t>
            </w:r>
          </w:p>
          <w:p>
            <w:pPr>
              <w:pStyle w:val="Normal"/>
              <w:spacing w:lineRule="auto" w:line="240" w:before="0" w:after="0"/>
              <w:ind w:left="0" w:right="-284" w:hanging="0"/>
              <w:rPr>
                <w:rFonts w:eastAsia="Times New Roman" w:cs="Times New Roman"/>
                <w:b/>
                <w:b/>
                <w:bCs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color w:val="2A2928"/>
                <w:sz w:val="28"/>
                <w:szCs w:val="28"/>
                <w:lang w:eastAsia="uk-U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УМОВИ 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проведення конкурсу на зайняття посади державної служби категорії “В” - головного спеціаліста відділу бухгалтерського обліку № 1 фінансово-економічного управління </w:t>
      </w: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uk-UA" w:eastAsia="zh-CN" w:bidi="ar-SA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75" w:type="dxa"/>
        <w:jc w:val="left"/>
        <w:tblInd w:w="4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-2" w:type="dxa"/>
          <w:bottom w:w="55" w:type="dxa"/>
          <w:right w:w="46" w:type="dxa"/>
        </w:tblCellMar>
      </w:tblPr>
      <w:tblGrid>
        <w:gridCol w:w="506"/>
        <w:gridCol w:w="2319"/>
        <w:gridCol w:w="591"/>
        <w:gridCol w:w="6259"/>
      </w:tblGrid>
      <w:tr>
        <w:trPr>
          <w:trHeight w:val="354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Загальні умови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Посадові обов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язки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18"/>
              <w:widowControl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 xml:space="preserve">Організація та ведення бухгалтерського обліку по  Головному управлінню, а саме: </w:t>
            </w:r>
          </w:p>
          <w:p>
            <w:pPr>
              <w:pStyle w:val="Style18"/>
              <w:widowControl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>- здійснює поточний контроль за дотриманням законодавства при взятті зобов’язань, здійсненні платежів відповідно до взятих зобов'язань, цільовим, економним та раціональним використанням коштів на виплату пенсійних та інших виплат;</w:t>
            </w:r>
          </w:p>
          <w:p>
            <w:pPr>
              <w:pStyle w:val="Style18"/>
              <w:widowControl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>- забезпечує планове та прогнозне формування кошторису Головного управління;</w:t>
            </w:r>
          </w:p>
          <w:p>
            <w:pPr>
              <w:pStyle w:val="Style18"/>
              <w:widowControl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>- у разі потреби вносить обґрунтовані пропозиції про зміни до кошторису Головного управління;</w:t>
            </w:r>
          </w:p>
          <w:p>
            <w:pPr>
              <w:pStyle w:val="Style18"/>
              <w:widowControl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 xml:space="preserve">- забезпечує </w:t>
            </w:r>
            <w:r>
              <w:rPr>
                <w:rStyle w:val="FontStyle15"/>
                <w:rFonts w:eastAsia="Calibri" w:cs="Times New Roman"/>
                <w:sz w:val="28"/>
                <w:szCs w:val="28"/>
                <w:lang w:val="uk-UA" w:eastAsia="zh-CN" w:bidi="ar-SA"/>
              </w:rPr>
              <w:t xml:space="preserve">достовірне та у повному обсязі ведення та відображення в бухгалтерському обліку операцій фінансово-господарської діяльності </w:t>
            </w:r>
            <w:r>
              <w:rPr>
                <w:rStyle w:val="FontStyle15"/>
                <w:rFonts w:cs="Times New Roman"/>
                <w:sz w:val="28"/>
                <w:szCs w:val="28"/>
                <w:lang w:val="uk-UA" w:eastAsia="uk-UA" w:bidi="ar-SA"/>
              </w:rPr>
              <w:t>відповідно до національних положень (стандартів) бухгалтерського обліку в державному секторі, а  також інших нормативно-правових актів щодо ведення бухгалтерського обліку</w:t>
            </w:r>
            <w:r>
              <w:rPr>
                <w:rStyle w:val="FontStyle15"/>
                <w:rFonts w:cs="Times New Roman"/>
                <w:sz w:val="28"/>
                <w:szCs w:val="28"/>
                <w:lang w:val="uk-UA" w:eastAsia="zh-CN" w:bidi="ar-SA"/>
              </w:rPr>
              <w:t>, в тому числі з використанням автоматизованої системи бухгалтерського обліку та звітності;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sz w:val="28"/>
                <w:szCs w:val="28"/>
                <w:lang w:val="uk-UA"/>
              </w:rPr>
              <w:t>- аналізує дані бухгалтерського обліку і звітності, розробляє та здійснює заходи щодо сплати дебіторської та погашення кредиторської заборгованості, організовує і проводить роботу щодо її стягнення;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sz w:val="28"/>
                <w:szCs w:val="28"/>
                <w:lang w:val="uk-UA"/>
              </w:rPr>
              <w:t>- готує інформацію про фінансовий стан, господарську діяльність та рух коштів Г</w:t>
            </w:r>
            <w:r>
              <w:rPr>
                <w:rFonts w:eastAsia="Calibri"/>
                <w:sz w:val="28"/>
                <w:szCs w:val="28"/>
                <w:lang w:val="uk-UA"/>
              </w:rPr>
              <w:t>оловного управління для прийняття обґрунтованих управлінських рішень щодо використання коштів;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rFonts w:eastAsia="Calibri"/>
                <w:sz w:val="28"/>
                <w:szCs w:val="28"/>
                <w:lang w:val="uk-UA"/>
              </w:rPr>
              <w:t>- складає на підставі даних бухгалтерського обліку фінансову, бюджетну, податкову, статистичну та іншу звітність (декларації), та подає її відповідним органам у порядку та строки, встановлені законодавством;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rFonts w:eastAsia="Calibri"/>
                <w:sz w:val="28"/>
                <w:szCs w:val="28"/>
                <w:lang w:val="uk-UA"/>
              </w:rPr>
              <w:t>- веде діловодство в автоматизованій системі електронного документообігу;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FontStyle15"/>
                <w:rFonts w:eastAsia="Calibri" w:cs="Times New Roman"/>
                <w:color w:val="00000A"/>
                <w:sz w:val="28"/>
                <w:szCs w:val="28"/>
                <w:highlight w:val="white"/>
                <w:lang w:val="uk-UA" w:eastAsia="zh-CN" w:bidi="ar-SA"/>
              </w:rPr>
              <w:t>- здійснює інші функції, необхідні для виконання покладених на Управління завдань.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Умови оплати праці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spacing w:lineRule="auto" w:line="24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посадовий оклад — 55</w:t>
            </w:r>
            <w:r>
              <w:rPr>
                <w:rFonts w:cs="Times New Roman"/>
                <w:i w:val="false"/>
                <w:iCs w:val="false"/>
                <w:sz w:val="28"/>
                <w:szCs w:val="28"/>
                <w:lang w:val="uk-UA" w:eastAsia="zh-CN" w:bidi="hi-IN"/>
              </w:rPr>
              <w:t>00</w:t>
            </w: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 xml:space="preserve"> грн., надбавки, доплати, премії та компенсації відповідно до статті 52 Закону України “Про державну службу”; надбавка до посадового окладу за ранг відповідно до постанови Кабінету Міністрів України від 18 січня 2017 року № 15 “Питання оплати праці працівників державних органів” (із змінами). 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Інформація про строковість чи безстроковість призначення на посаду 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both"/>
              <w:rPr/>
            </w:pPr>
            <w:bookmarkStart w:id="0" w:name="__DdeLink__2354_3190848176"/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  <w:t xml:space="preserve">безстроково </w:t>
            </w:r>
            <w:bookmarkEnd w:id="0"/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  <w:t>(строк призначення особи, яка досягла 65-річного віку, становить один рік з правом повторного призначення без обов’язкового проведення конкурсу щороку)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Перелік інформації, необхідної для участі в конкурсі, та строк її подання 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1) заяву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 березня 2016 р. № 246 (зі змінами);</w:t>
            </w:r>
          </w:p>
          <w:p>
            <w:pPr>
              <w:pStyle w:val="Rvps12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/>
                <w:b w:val="false"/>
                <w:bCs w:val="false"/>
                <w:color w:val="000000"/>
                <w:sz w:val="28"/>
                <w:szCs w:val="28"/>
                <w:lang w:val="uk-UA"/>
              </w:rPr>
              <w:t>2) рез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юме за формою згідно з </w:t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додатком 2</w:t>
            </w:r>
            <w:r>
              <w:fldChar w:fldCharType="end"/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-1</w:t>
            </w:r>
            <w:r>
              <w:fldChar w:fldCharType="end"/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, в якому обов’язково зазначається така інформація: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1" w:name="n11721"/>
            <w:bookmarkEnd w:id="1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прізвище, ім’я, по батькові кандидата;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2" w:name="n11731"/>
            <w:bookmarkEnd w:id="2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реквізити документа, що посвідчує особу та підтверджує громадянство України;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3" w:name="n11741"/>
            <w:bookmarkEnd w:id="3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підтвердження наявності відповідного ступеня вищої освіти;</w:t>
            </w:r>
          </w:p>
          <w:p>
            <w:pPr>
              <w:pStyle w:val="Rvps12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</w:pPr>
            <w:bookmarkStart w:id="4" w:name="n11761"/>
            <w:bookmarkEnd w:id="4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відомості про стаж роботи, стаж державної служби (за наявності), досвід роботи на відповідних посадах у відповідній сфері, визначеній в умовах конкурсу, та на керівних посадах (за наявності відповідних вимог)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3) з</w:t>
            </w:r>
            <w:r>
              <w:rPr>
                <w:rFonts w:cs="Times New Roman"/>
                <w:color w:val="000000"/>
                <w:sz w:val="28"/>
                <w:szCs w:val="28"/>
              </w:rPr>
              <w:t>аяву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, в якій повідомляє, що до неї не застосовуються заборони, визначені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частиною третьою</w:t>
            </w:r>
            <w:r>
              <w:rPr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 xml:space="preserve"> або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четвертою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 статті 1 Закону України “Про очищення влади”, та надає згоду на проходження перевірки та на оприлюднення відомостей стосовно неї відповідно до зазначеного Закону;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>Подача додатків до заяви не є обов’язковою.</w:t>
            </w:r>
          </w:p>
          <w:p>
            <w:pPr>
              <w:pStyle w:val="Style18"/>
              <w:widowControl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3</w:t>
            </w:r>
            <w:r>
              <w:rPr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6"/>
                <w:u w:val="none"/>
                <w:lang w:val="uk-UA"/>
              </w:rPr>
              <w:t>-1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) копію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Документи приймаються до 17 год. 00 хв.           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02 лютого 2022 року. 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>Додаткові (необов’</w:t>
            </w:r>
            <w:r>
              <w:rPr>
                <w:b/>
                <w:bCs/>
                <w:sz w:val="28"/>
                <w:szCs w:val="28"/>
                <w:lang w:val="uk-UA"/>
              </w:rPr>
              <w:t>язкові) документи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</w:t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і час початку проведення тестування кандидатів. 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тестування.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>
            <w:pPr>
              <w:pStyle w:val="Style24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7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/>
            </w:pPr>
            <w:r>
              <w:rPr>
                <w:sz w:val="28"/>
                <w:szCs w:val="28"/>
                <w:lang w:val="en-US"/>
              </w:rPr>
              <w:t>08</w:t>
            </w:r>
            <w:r>
              <w:rPr>
                <w:sz w:val="28"/>
                <w:szCs w:val="28"/>
              </w:rPr>
              <w:t xml:space="preserve"> лютого 2022 року 09 год. 00 хв.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тестування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5" w:name="__DdeLink__14942_3241170014"/>
            <w:bookmarkEnd w:id="5"/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6" w:name="__DdeLink__14942_32411700141"/>
            <w:bookmarkStart w:id="7" w:name="__DdeLink__14942_32411700141"/>
            <w:bookmarkEnd w:id="7"/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41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Прізвище, ім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добору з призначення на вакантну посаду</w:t>
            </w:r>
          </w:p>
        </w:tc>
        <w:tc>
          <w:tcPr>
            <w:tcW w:w="62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Ковальчук Світлана Олександрівна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м.т.: 0362-63-33-42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kad@rv.pfu.gov.ua </w:t>
            </w:r>
          </w:p>
        </w:tc>
      </w:tr>
      <w:tr>
        <w:trPr>
          <w:trHeight w:val="358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Кваліфікаційні вимоги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Вища, не нижче ступеня молодшого бакалавра або бакалавра</w:t>
            </w:r>
          </w:p>
        </w:tc>
      </w:tr>
      <w:tr>
        <w:trPr>
          <w:trHeight w:val="673" w:hRule="atLeast"/>
        </w:trPr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Не потребує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Normal"/>
              <w:snapToGrid w:val="false"/>
              <w:ind w:left="171" w:right="152" w:hanging="171"/>
              <w:rPr>
                <w:rFonts w:cs="Times New Roman"/>
                <w:sz w:val="12"/>
                <w:szCs w:val="12"/>
                <w:lang w:val="uk-UA"/>
              </w:rPr>
            </w:pPr>
            <w:r>
              <w:rPr>
                <w:rFonts w:cs="Times New Roman"/>
                <w:sz w:val="12"/>
                <w:szCs w:val="12"/>
                <w:lang w:val="uk-UA"/>
              </w:rPr>
            </w:r>
          </w:p>
          <w:p>
            <w:pPr>
              <w:pStyle w:val="Normal"/>
              <w:ind w:left="171" w:right="152" w:hanging="171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Вільне володіння державною мовою</w:t>
            </w:r>
          </w:p>
        </w:tc>
      </w:tr>
      <w:tr>
        <w:trPr>
          <w:trHeight w:val="447" w:hRule="atLeast"/>
        </w:trPr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Вимоги до компетентності </w:t>
            </w:r>
          </w:p>
        </w:tc>
      </w:tr>
      <w:tr>
        <w:trPr>
          <w:trHeight w:val="510" w:hRule="atLeast"/>
        </w:trPr>
        <w:tc>
          <w:tcPr>
            <w:tcW w:w="28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Компоненти вимоги</w:t>
            </w:r>
          </w:p>
        </w:tc>
      </w:tr>
      <w:tr>
        <w:trPr>
          <w:trHeight w:val="342" w:hRule="atLeast"/>
        </w:trPr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/>
            </w:pPr>
            <w:r>
              <w:rPr>
                <w:b/>
                <w:bCs/>
                <w:sz w:val="28"/>
                <w:szCs w:val="28"/>
              </w:rPr>
              <w:t>Робота з великими масивами інформації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здатність встановлювати логічні взаємозв’язки;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вміння систематизувати великий масив інформації;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- здатність виділяти головне, робити чіткі, структуровані висновки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 w:eastAsia="zh-CN" w:bidi="hi-IN"/>
              </w:rPr>
              <w:t>Аналітичні здібності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встановлювати причинно-наслідкові зв’язки;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аналізувати інформацію та робити висновки, критично оцінювати ситуації, прогнозувати та робити власні умовиводи.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widowControl/>
              <w:suppressLineNumbers/>
              <w:suppressAutoHyphens w:val="true"/>
              <w:bidi w:val="0"/>
              <w:snapToGrid w:val="false"/>
              <w:ind w:left="0" w:right="0" w:hanging="0"/>
              <w:jc w:val="left"/>
              <w:rPr/>
            </w:pPr>
            <w:r>
              <w:rPr>
                <w:rStyle w:val="Style16"/>
                <w:rFonts w:cs="Times New Roman"/>
                <w:b/>
                <w:bCs/>
                <w:i w:val="false"/>
                <w:sz w:val="28"/>
                <w:szCs w:val="28"/>
                <w:lang w:val="uk-UA" w:eastAsia="zh-CN" w:bidi="hi-IN"/>
              </w:rPr>
              <w:t>Цифрова грамотність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використовувати комп’ютерні пристрої, базове офісне та спеціалізоване програмне забезпечення для ефективного виконання своїх посадових обов’язків;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обов’язків; вміти користуватися кваліфікованим електронним підписом (КЕП).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/>
            </w:pPr>
            <w:r>
              <w:rPr/>
              <w:t>4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Відповідальність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брати на себе зобов’язання, чітко їх дотримуватись і виконувати.</w:t>
            </w:r>
          </w:p>
        </w:tc>
      </w:tr>
      <w:tr>
        <w:trPr/>
        <w:tc>
          <w:tcPr>
            <w:tcW w:w="967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Професійні знання</w:t>
            </w:r>
          </w:p>
        </w:tc>
      </w:tr>
      <w:tr>
        <w:trPr/>
        <w:tc>
          <w:tcPr>
            <w:tcW w:w="28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Вимога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ind w:left="171" w:right="152" w:hanging="171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Компоненти вимоги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Знання  законодавства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ind w:left="171" w:right="152" w:hanging="17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Знання:</w:t>
            </w:r>
          </w:p>
          <w:p>
            <w:pPr>
              <w:pStyle w:val="Normal"/>
              <w:ind w:left="165" w:right="165" w:hanging="18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 Конституції України;</w:t>
            </w:r>
          </w:p>
          <w:p>
            <w:pPr>
              <w:pStyle w:val="Normal"/>
              <w:ind w:left="165" w:right="165" w:hanging="181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 Закону України “Про державну службу”;</w:t>
            </w:r>
          </w:p>
          <w:p>
            <w:pPr>
              <w:pStyle w:val="Normal"/>
              <w:snapToGrid w:val="false"/>
              <w:ind w:left="165" w:right="165" w:hanging="165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 Закону України “Про запобігання корупції”.</w:t>
            </w:r>
          </w:p>
        </w:tc>
      </w:tr>
      <w:tr>
        <w:trPr/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Style27"/>
              <w:snapToGrid w:val="false"/>
              <w:jc w:val="both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85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28" w:type="dxa"/>
              <w:right w:w="55" w:type="dxa"/>
            </w:tcMar>
          </w:tcPr>
          <w:p>
            <w:pPr>
              <w:pStyle w:val="Normal"/>
              <w:ind w:left="0" w:right="51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 З</w:t>
            </w:r>
            <w:r>
              <w:rPr>
                <w:rFonts w:cs="Times New Roman"/>
                <w:color w:val="00000A"/>
                <w:sz w:val="28"/>
                <w:szCs w:val="28"/>
                <w:lang w:val="uk-UA"/>
              </w:rPr>
              <w:t>акон України “Про доступ до публічної інформації”;</w:t>
            </w:r>
          </w:p>
          <w:p>
            <w:pPr>
              <w:pStyle w:val="Normal"/>
              <w:snapToGrid w:val="false"/>
              <w:ind w:left="165" w:right="165" w:hanging="165"/>
              <w:rPr/>
            </w:pPr>
            <w:r>
              <w:rPr>
                <w:rFonts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color w:val="00000A"/>
                <w:sz w:val="28"/>
                <w:szCs w:val="28"/>
                <w:lang w:val="uk-UA"/>
              </w:rPr>
              <w:t>- Закону України “Про бухгалтерський облік та фінансову звітність в Україні”;</w:t>
            </w:r>
          </w:p>
          <w:p>
            <w:pPr>
              <w:pStyle w:val="Normal"/>
              <w:widowControl/>
              <w:suppressAutoHyphens w:val="true"/>
              <w:bidi w:val="0"/>
              <w:ind w:left="0" w:right="170" w:hanging="0"/>
              <w:jc w:val="both"/>
              <w:rPr/>
            </w:pP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- Постанови Кабінету Міністрів України № 228 від 28.02.2002 “Про затвердження порядку складання, розгляду, затвердження та основних вимог до виконання кошторисів бюджетних установ”;</w:t>
            </w:r>
          </w:p>
          <w:p>
            <w:pPr>
              <w:pStyle w:val="Normal"/>
              <w:ind w:left="0" w:right="51" w:hanging="0"/>
              <w:jc w:val="both"/>
              <w:rPr/>
            </w:pPr>
            <w:r>
              <w:rPr>
                <w:rFonts w:eastAsia="Times New Roman" w:cs="Times New Roman"/>
                <w:color w:val="00000A"/>
                <w:sz w:val="28"/>
                <w:szCs w:val="28"/>
                <w:lang w:val="uk-UA"/>
              </w:rPr>
              <w:t>- Національні положення (стандарт) бухгалтерського обліку в державному секторі та іншого законодавства.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567" w:header="0" w:top="600" w:footer="0" w:bottom="578" w:gutter="0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720"/>
      </w:pPr>
    </w:lvl>
    <w:lvl w:ilvl="3">
      <w:start w:val="1"/>
      <w:pStyle w:val="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zh-CN" w:bidi="ar-SA"/>
    </w:rPr>
  </w:style>
  <w:style w:type="paragraph" w:styleId="2">
    <w:name w:val="Heading 2"/>
    <w:basedOn w:val="Normal"/>
    <w:qFormat/>
    <w:pPr>
      <w:keepNext w:val="true"/>
      <w:numPr>
        <w:ilvl w:val="1"/>
        <w:numId w:val="1"/>
      </w:numPr>
      <w:spacing w:lineRule="auto" w:line="276"/>
      <w:jc w:val="center"/>
      <w:outlineLvl w:val="1"/>
    </w:pPr>
    <w:rPr>
      <w:rFonts w:eastAsia="Calibri"/>
      <w:b/>
      <w:sz w:val="28"/>
      <w:szCs w:val="28"/>
      <w:lang w:val="ru-RU"/>
    </w:rPr>
  </w:style>
  <w:style w:type="paragraph" w:styleId="3">
    <w:name w:val="Heading 3"/>
    <w:basedOn w:val="Normal"/>
    <w:qFormat/>
    <w:pPr>
      <w:keepNext w:val="true"/>
      <w:numPr>
        <w:ilvl w:val="2"/>
        <w:numId w:val="1"/>
      </w:numPr>
      <w:jc w:val="right"/>
      <w:outlineLvl w:val="2"/>
    </w:pPr>
    <w:rPr>
      <w:b/>
      <w:sz w:val="28"/>
      <w:szCs w:val="20"/>
    </w:rPr>
  </w:style>
  <w:style w:type="paragraph" w:styleId="4">
    <w:name w:val="Heading 4"/>
    <w:basedOn w:val="Style17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Style11">
    <w:name w:val="Символ нумерации"/>
    <w:qFormat/>
    <w:rPr/>
  </w:style>
  <w:style w:type="character" w:styleId="Style12">
    <w:name w:val="Текст выноски Знак"/>
    <w:basedOn w:val="DefaultParagraphFont"/>
    <w:qFormat/>
    <w:rPr>
      <w:rFonts w:ascii="Tahoma" w:hAnsi="Tahoma" w:eastAsia="Times New Roman" w:cs="Tahoma"/>
      <w:color w:val="000000"/>
      <w:sz w:val="16"/>
      <w:szCs w:val="16"/>
      <w:lang w:bidi="ar-SA"/>
    </w:rPr>
  </w:style>
  <w:style w:type="character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styleId="Style13">
    <w:name w:val="Гіперпосилання"/>
    <w:rPr>
      <w:color w:val="000080"/>
      <w:u w:val="single"/>
      <w:lang w:val="zxx" w:eastAsia="zxx" w:bidi="zxx"/>
    </w:rPr>
  </w:style>
  <w:style w:type="character" w:styleId="Style14">
    <w:name w:val="Виділення"/>
    <w:qFormat/>
    <w:rPr>
      <w:i/>
      <w:iCs/>
    </w:rPr>
  </w:style>
  <w:style w:type="character" w:styleId="WW">
    <w:name w:val="WW-Гіперпосилання"/>
    <w:qFormat/>
    <w:rPr>
      <w:color w:val="000080"/>
      <w:u w:val="single"/>
      <w:lang w:val="zxx" w:eastAsia="zxx" w:bidi="zxx"/>
    </w:rPr>
  </w:style>
  <w:style w:type="character" w:styleId="WW1">
    <w:name w:val="WW-Виділення"/>
    <w:qFormat/>
    <w:rPr>
      <w:i/>
      <w:iCs/>
    </w:rPr>
  </w:style>
  <w:style w:type="character" w:styleId="Style15">
    <w:name w:val="Маркери списку"/>
    <w:qFormat/>
    <w:rPr>
      <w:rFonts w:ascii="OpenSymbol;Arial Unicode MS" w:hAnsi="OpenSymbol;Arial Unicode MS" w:eastAsia="OpenSymbol;Arial Unicode MS" w:cs="OpenSymbol;Arial Unicode MS"/>
    </w:rPr>
  </w:style>
  <w:style w:type="character" w:styleId="ListLabel1">
    <w:name w:val="ListLabel 1"/>
    <w:qFormat/>
    <w:rPr>
      <w:rFonts w:cs="OpenSymbol;Arial Unicode MS"/>
    </w:rPr>
  </w:style>
  <w:style w:type="character" w:styleId="ListLabel2">
    <w:name w:val="ListLabel 2"/>
    <w:qFormat/>
    <w:rPr>
      <w:rFonts w:cs="OpenSymbol;Arial Unicode MS"/>
    </w:rPr>
  </w:style>
  <w:style w:type="character" w:styleId="ListLabel3">
    <w:name w:val="ListLabel 3"/>
    <w:qFormat/>
    <w:rPr>
      <w:rFonts w:cs="OpenSymbol;Arial Unicode MS"/>
    </w:rPr>
  </w:style>
  <w:style w:type="character" w:styleId="ListLabel4">
    <w:name w:val="ListLabel 4"/>
    <w:qFormat/>
    <w:rPr>
      <w:rFonts w:cs="OpenSymbol;Arial Unicode MS"/>
    </w:rPr>
  </w:style>
  <w:style w:type="character" w:styleId="ListLabel5">
    <w:name w:val="ListLabel 5"/>
    <w:qFormat/>
    <w:rPr>
      <w:rFonts w:cs="OpenSymbol;Arial Unicode MS"/>
    </w:rPr>
  </w:style>
  <w:style w:type="character" w:styleId="ListLabel6">
    <w:name w:val="ListLabel 6"/>
    <w:qFormat/>
    <w:rPr>
      <w:rFonts w:cs="OpenSymbol;Arial Unicode MS"/>
    </w:rPr>
  </w:style>
  <w:style w:type="character" w:styleId="ListLabel7">
    <w:name w:val="ListLabel 7"/>
    <w:qFormat/>
    <w:rPr>
      <w:rFonts w:cs="OpenSymbol;Arial Unicode MS"/>
    </w:rPr>
  </w:style>
  <w:style w:type="character" w:styleId="ListLabel8">
    <w:name w:val="ListLabel 8"/>
    <w:qFormat/>
    <w:rPr>
      <w:rFonts w:cs="OpenSymbol;Arial Unicode MS"/>
    </w:rPr>
  </w:style>
  <w:style w:type="character" w:styleId="ListLabel9">
    <w:name w:val="ListLabel 9"/>
    <w:qFormat/>
    <w:rPr>
      <w:rFonts w:cs="OpenSymbol;Arial Unicode MS"/>
    </w:rPr>
  </w:style>
  <w:style w:type="character" w:styleId="ListLabel10">
    <w:name w:val="ListLabel 10"/>
    <w:qFormat/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1">
    <w:name w:val="ListLabel 11"/>
    <w:qFormat/>
    <w:rPr>
      <w:rFonts w:ascii="Times New Roman" w:hAnsi="Times New Roman" w:cs="Times New Roman"/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2">
    <w:name w:val="ListLabel 12"/>
    <w:qFormat/>
    <w:rPr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3">
    <w:name w:val="ListLabel 13"/>
    <w:qFormat/>
    <w:rPr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4">
    <w:name w:val="ListLabel 14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5">
    <w:name w:val="ListLabel 15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6">
    <w:name w:val="ListLabel 16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Style16">
    <w:name w:val="Выделение"/>
    <w:qFormat/>
    <w:rPr>
      <w:i/>
      <w:i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Покажчик"/>
    <w:basedOn w:val="Normal"/>
    <w:qFormat/>
    <w:pPr>
      <w:suppressLineNumbers/>
    </w:pPr>
    <w:rPr>
      <w:rFonts w:cs="Arial"/>
    </w:rPr>
  </w:style>
  <w:style w:type="paragraph" w:styleId="Style22">
    <w:name w:val="Название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Index1">
    <w:name w:val="index 1"/>
    <w:basedOn w:val="Normal"/>
    <w:qFormat/>
    <w:pPr>
      <w:spacing w:lineRule="atLeast" w:line="240"/>
      <w:ind w:left="0" w:right="-6" w:hanging="0"/>
      <w:jc w:val="center"/>
    </w:pPr>
    <w:rPr>
      <w:b/>
      <w:sz w:val="28"/>
      <w:szCs w:val="20"/>
      <w:lang w:val="ru-RU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Body Text Indent"/>
    <w:basedOn w:val="Normal"/>
    <w:pPr>
      <w:spacing w:before="0" w:after="120"/>
      <w:ind w:left="283" w:right="0" w:hanging="0"/>
    </w:pPr>
    <w:rPr/>
  </w:style>
  <w:style w:type="paragraph" w:styleId="WW2">
    <w:name w:val="WW-Базовый"/>
    <w:qFormat/>
    <w:pPr>
      <w:widowControl w:val="false"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hi-IN" w:bidi="hi-IN"/>
    </w:rPr>
  </w:style>
  <w:style w:type="paragraph" w:styleId="BodyTextIndent3">
    <w:name w:val="Body Text Indent 3"/>
    <w:basedOn w:val="WW2"/>
    <w:qFormat/>
    <w:pPr>
      <w:ind w:left="4678" w:right="0" w:hanging="0"/>
      <w:jc w:val="center"/>
      <w:textAlignment w:val="baseline"/>
    </w:pPr>
    <w:rPr>
      <w:sz w:val="28"/>
      <w:lang w:eastAsia="ru-RU"/>
    </w:rPr>
  </w:style>
  <w:style w:type="paragraph" w:styleId="Style27">
    <w:name w:val="Вміст таблиці"/>
    <w:basedOn w:val="Normal"/>
    <w:qFormat/>
    <w:pPr>
      <w:suppressLineNumbers/>
    </w:pPr>
    <w:rPr/>
  </w:style>
  <w:style w:type="paragraph" w:styleId="Style28">
    <w:name w:val="Заголовок таблиці"/>
    <w:basedOn w:val="Style27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Обычный (веб)"/>
    <w:basedOn w:val="Normal"/>
    <w:qFormat/>
    <w:pPr>
      <w:spacing w:before="280" w:after="280"/>
    </w:pPr>
    <w:rPr>
      <w:sz w:val="24"/>
      <w:szCs w:val="24"/>
      <w:lang w:val="ru-RU"/>
    </w:rPr>
  </w:style>
  <w:style w:type="paragraph" w:styleId="Rvps12">
    <w:name w:val="rvps12"/>
    <w:basedOn w:val="Normal"/>
    <w:qFormat/>
    <w:pPr>
      <w:spacing w:before="280" w:after="28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Application>LibreOffice/5.4.4.2$Windows_X86_64 LibreOffice_project/2524958677847fb3bb44820e40380acbe820f960</Application>
  <Pages>5</Pages>
  <Words>938</Words>
  <Characters>6408</Characters>
  <CharactersWithSpaces>7287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2020-10-27T16:50:00Z</dcterms:created>
  <dc:creator>kadr2</dc:creator>
  <dc:description/>
  <dc:language>uk-UA</dc:language>
  <cp:lastModifiedBy/>
  <cp:lastPrinted>2021-08-27T15:39:33Z</cp:lastPrinted>
  <dcterms:modified xsi:type="dcterms:W3CDTF">2022-01-20T10:23:42Z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