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38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323"/>
        <w:gridCol w:w="4368"/>
      </w:tblGrid>
      <w:tr>
        <w:trPr/>
        <w:tc>
          <w:tcPr>
            <w:tcW w:w="3047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2323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b/>
                <w:b/>
                <w:bCs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4368" w:type="dxa"/>
            <w:tcBorders/>
            <w:shd w:fill="FFFFFF" w:val="clear"/>
          </w:tcPr>
          <w:p>
            <w:pPr>
              <w:pStyle w:val="Normal"/>
              <w:spacing w:lineRule="auto" w:line="240" w:before="0" w:after="0"/>
              <w:ind w:left="-108" w:right="-284" w:hanging="0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ЗАТВЕРДЖЕНО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/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Наказ Головного управління Пенсійного фонду України в Рівненській області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/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20.01.2022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66</w:t>
            </w:r>
          </w:p>
          <w:p>
            <w:pPr>
              <w:pStyle w:val="Normal"/>
              <w:spacing w:lineRule="auto" w:line="240" w:before="0" w:after="0"/>
              <w:ind w:left="0" w:right="-284" w:hanging="0"/>
              <w:rPr>
                <w:rFonts w:eastAsia="Times New Roman" w:cs="Times New Roman"/>
                <w:b/>
                <w:b/>
                <w:bCs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2A2928"/>
                <w:sz w:val="28"/>
                <w:szCs w:val="28"/>
                <w:lang w:eastAsia="uk-U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УМОВИ 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проведення конкурсу на зайняття посади державної служби категорії “В” - головного спеціаліста відділу виконання бюджету та бюджетно-фінансової звітності фінансово-економічного управління </w:t>
      </w: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uk-UA" w:eastAsia="zh-CN" w:bidi="ar-SA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75" w:type="dxa"/>
        <w:jc w:val="left"/>
        <w:tblInd w:w="4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-2" w:type="dxa"/>
          <w:bottom w:w="55" w:type="dxa"/>
          <w:right w:w="46" w:type="dxa"/>
        </w:tblCellMar>
      </w:tblPr>
      <w:tblGrid>
        <w:gridCol w:w="506"/>
        <w:gridCol w:w="2319"/>
        <w:gridCol w:w="591"/>
        <w:gridCol w:w="6259"/>
      </w:tblGrid>
      <w:tr>
        <w:trPr>
          <w:trHeight w:val="354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Загальні умови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Посадові обов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язки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sz w:val="28"/>
                <w:szCs w:val="28"/>
                <w:lang w:val="uk-UA"/>
              </w:rPr>
              <w:t>- складання тимчасового розпису, бюджету Головного управління Пенсійного фонду України в Рівненській області на плановий період та  внесення змін до нього;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sz w:val="28"/>
                <w:szCs w:val="28"/>
                <w:lang w:val="uk-UA"/>
              </w:rPr>
              <w:t>- щоквартальне прийняття участі у складанні квартальної звітності, аналітичної записки про підсумки роботи Головного управління Пенсійного фонду України в Рівненській області;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sz w:val="28"/>
                <w:szCs w:val="28"/>
                <w:lang w:val="uk-UA"/>
              </w:rPr>
              <w:t>- щ</w:t>
            </w:r>
            <w:r>
              <w:rPr>
                <w:rFonts w:eastAsia="Times New Roman" w:cs="Times New Roman"/>
                <w:bCs/>
                <w:sz w:val="28"/>
                <w:szCs w:val="28"/>
                <w:lang w:val="uk-UA"/>
              </w:rPr>
              <w:t>омісячний аналіз</w:t>
            </w:r>
            <w:r>
              <w:rPr>
                <w:rFonts w:eastAsia="Times New Roman" w:cs="Times New Roman"/>
                <w:sz w:val="28"/>
                <w:szCs w:val="28"/>
                <w:lang w:val="uk-UA"/>
              </w:rPr>
              <w:t xml:space="preserve"> виконання бюджету Головного управління Пенсійного фонду України в області;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sz w:val="28"/>
                <w:szCs w:val="28"/>
                <w:lang w:val="uk-UA"/>
              </w:rPr>
              <w:t>- з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uk-UA"/>
              </w:rPr>
              <w:t>ведення по Головному управлінню даних для поденного фінансування пенсій та інших виплат цивільним пенсіонерам, внутрішньо-переміщеним особам, що здійснюється через банківські установи;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- ведення обліку </w:t>
            </w:r>
            <w:bookmarkStart w:id="0" w:name="__DdeLink__1291_1059238782"/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uk-UA"/>
              </w:rPr>
              <w:t>виплати пенсій пенсіонерам іноземних держав, які проживають на території област</w:t>
            </w:r>
            <w:bookmarkEnd w:id="0"/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uk-UA"/>
              </w:rPr>
              <w:t>і;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uk-UA"/>
              </w:rPr>
              <w:t>- ведення аналітичного обліку фінансування пенсій в розрізі установ (закладів), де пенсіонери перебувають на повному державному утриманні та надання таких даних управлінню контрольно-перевірочної роботи для проведення перевірки цільового використання коштів;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FontStyle15"/>
                <w:rFonts w:eastAsia="Times New Roman" w:cs="Times New Roman"/>
                <w:bCs/>
                <w:color w:val="000000"/>
                <w:sz w:val="28"/>
                <w:szCs w:val="28"/>
                <w:highlight w:val="white"/>
                <w:lang w:val="uk-UA" w:eastAsia="zh-CN" w:bidi="ar-SA"/>
              </w:rPr>
              <w:t xml:space="preserve">- виконання інших функцій, необхідних для виконання покладених на відділ завдань. 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Умови оплати праці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spacing w:lineRule="auto" w:line="24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посадовий оклад — 55</w:t>
            </w:r>
            <w:r>
              <w:rPr>
                <w:rFonts w:cs="Times New Roman"/>
                <w:i w:val="false"/>
                <w:iCs w:val="false"/>
                <w:sz w:val="28"/>
                <w:szCs w:val="28"/>
                <w:lang w:val="uk-UA" w:eastAsia="zh-CN" w:bidi="hi-IN"/>
              </w:rPr>
              <w:t>00</w:t>
            </w: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 xml:space="preserve"> грн., надбавки, доплати, премії та компенсації відповідно до статті 52 Закону України “Про державну службу”; надбавка до посадового окладу за ранг відповідно до постанови Кабінету Міністрів України від 18 січня 2017 року № 15 “Питання оплати праці працівників державних органів” (із змінами). 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Інформація про строковість чи безстроковість призначення на посаду 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both"/>
              <w:rPr/>
            </w:pPr>
            <w:bookmarkStart w:id="1" w:name="__DdeLink__2354_3190848176"/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  <w:t xml:space="preserve">безстроково </w:t>
            </w:r>
            <w:bookmarkEnd w:id="1"/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  <w:t>(строк призначення особи, яка досягла 65-річного віку, становить один рік з правом повторного призначення без обов’язкового проведення конкурсу щороку)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Перелік інформації, необхідної для участі в конкурсі, та строк її подання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1) заяву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 березня 2016 р. № 246 (зі змінами);</w:t>
            </w:r>
          </w:p>
          <w:p>
            <w:pPr>
              <w:pStyle w:val="Rvps12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/>
                <w:b w:val="false"/>
                <w:bCs w:val="false"/>
                <w:color w:val="000000"/>
                <w:sz w:val="28"/>
                <w:szCs w:val="28"/>
                <w:lang w:val="uk-UA"/>
              </w:rPr>
              <w:t>2) рез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юме за формою згідно з </w:t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додатком 2</w:t>
            </w:r>
            <w:r>
              <w:fldChar w:fldCharType="end"/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-1</w:t>
            </w:r>
            <w:r>
              <w:fldChar w:fldCharType="end"/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, в якому обов’язково зазначається така інформація: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2" w:name="n11721"/>
            <w:bookmarkEnd w:id="2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прізвище, ім’я, по батькові кандидата;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3" w:name="n11731"/>
            <w:bookmarkEnd w:id="3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реквізити документа, що посвідчує особу та підтверджує громадянство України;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4" w:name="n11741"/>
            <w:bookmarkEnd w:id="4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підтвердження наявності відповідного ступеня вищої освіти;</w:t>
            </w:r>
          </w:p>
          <w:p>
            <w:pPr>
              <w:pStyle w:val="Rvps12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</w:pPr>
            <w:bookmarkStart w:id="5" w:name="n11761"/>
            <w:bookmarkEnd w:id="5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відомості про стаж роботи, стаж державної служби (за наявності), досвід роботи на відповідних посадах у відповідній сфері, визначеній в умовах конкурсу, та на керівних посадах (за наявності відповідних вимог)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3) з</w:t>
            </w:r>
            <w:r>
              <w:rPr>
                <w:rFonts w:cs="Times New Roman"/>
                <w:color w:val="000000"/>
                <w:sz w:val="28"/>
                <w:szCs w:val="28"/>
              </w:rPr>
              <w:t>аяву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, в якій повідомляє, що до неї не застосовуються заборони, визначені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частиною третьою</w:t>
            </w:r>
            <w:r>
              <w:rPr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 xml:space="preserve"> або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четвертою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 статті 1 Закону України “Про очищення влади”, та надає згоду на проходження перевірки та на оприлюднення відомостей стосовно неї відповідно до зазначеного Закону;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>Подача додатків до заяви не є обов’язковою.</w:t>
            </w:r>
          </w:p>
          <w:p>
            <w:pPr>
              <w:pStyle w:val="Style18"/>
              <w:widowControl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3</w:t>
            </w:r>
            <w:r>
              <w:rPr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6"/>
                <w:u w:val="none"/>
                <w:lang w:val="uk-UA"/>
              </w:rPr>
              <w:t>-1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) копію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Документи приймаються до 17 год. 00 хв.           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02 лютого 2022 року. 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>Додаткові (необов’</w:t>
            </w:r>
            <w:r>
              <w:rPr>
                <w:b/>
                <w:bCs/>
                <w:sz w:val="28"/>
                <w:szCs w:val="28"/>
                <w:lang w:val="uk-UA"/>
              </w:rPr>
              <w:t>язкові) документи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і час початку проведення тестування кандидатів. 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тестування.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>
            <w:pPr>
              <w:pStyle w:val="Style24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7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/>
            </w:pPr>
            <w:r>
              <w:rPr>
                <w:sz w:val="28"/>
                <w:szCs w:val="28"/>
                <w:lang w:val="en-US"/>
              </w:rPr>
              <w:t>08</w:t>
            </w:r>
            <w:r>
              <w:rPr>
                <w:sz w:val="28"/>
                <w:szCs w:val="28"/>
              </w:rPr>
              <w:t xml:space="preserve"> лютого 2022 року 10 год. 00 хв.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тестування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6" w:name="__DdeLink__14942_3241170014"/>
            <w:bookmarkEnd w:id="6"/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7" w:name="__DdeLink__14942_32411700141"/>
            <w:bookmarkStart w:id="8" w:name="__DdeLink__14942_32411700141"/>
            <w:bookmarkEnd w:id="8"/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Прізвище, ім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добору з призначення на вакантну посаду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Ковальчук Світлана Олександрівна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м.т.: 0362-63-33-42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kad@rv.pfu.gov.ua </w:t>
            </w:r>
          </w:p>
        </w:tc>
      </w:tr>
      <w:tr>
        <w:trPr>
          <w:trHeight w:val="358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Кваліфікаційні вимоги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Вища, не нижче ступеня молодшого бакалавра або бакалавра</w:t>
            </w:r>
          </w:p>
        </w:tc>
      </w:tr>
      <w:tr>
        <w:trPr>
          <w:trHeight w:val="673" w:hRule="atLeast"/>
        </w:trPr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Не потребує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Normal"/>
              <w:snapToGrid w:val="false"/>
              <w:ind w:left="171" w:right="152" w:hanging="171"/>
              <w:rPr>
                <w:rFonts w:cs="Times New Roman"/>
                <w:sz w:val="12"/>
                <w:szCs w:val="12"/>
                <w:lang w:val="uk-UA"/>
              </w:rPr>
            </w:pPr>
            <w:r>
              <w:rPr>
                <w:rFonts w:cs="Times New Roman"/>
                <w:sz w:val="12"/>
                <w:szCs w:val="12"/>
                <w:lang w:val="uk-UA"/>
              </w:rPr>
            </w:r>
          </w:p>
          <w:p>
            <w:pPr>
              <w:pStyle w:val="Normal"/>
              <w:ind w:left="171" w:right="152" w:hanging="171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Вільне володіння державною мовою</w:t>
            </w:r>
          </w:p>
        </w:tc>
      </w:tr>
      <w:tr>
        <w:trPr>
          <w:trHeight w:val="447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Вимоги до компетентності </w:t>
            </w:r>
          </w:p>
        </w:tc>
      </w:tr>
      <w:tr>
        <w:trPr>
          <w:trHeight w:val="510" w:hRule="atLeast"/>
        </w:trPr>
        <w:tc>
          <w:tcPr>
            <w:tcW w:w="28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Компоненти вимоги</w:t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>Робота з великими масивами інформації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здатність встановлювати логічні взаємозв’язки;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вміння систематизувати великий масив інформації;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здатність виділяти головне, робити чіткі, структуровані висновки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 w:eastAsia="zh-CN" w:bidi="hi-IN"/>
              </w:rPr>
              <w:t>Аналітичні здібності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встановлювати причинно-наслідкові зв’язки;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widowControl/>
              <w:suppressLineNumbers/>
              <w:suppressAutoHyphens w:val="true"/>
              <w:bidi w:val="0"/>
              <w:snapToGrid w:val="false"/>
              <w:ind w:left="0" w:right="0" w:hanging="0"/>
              <w:jc w:val="left"/>
              <w:rPr/>
            </w:pPr>
            <w:r>
              <w:rPr>
                <w:rStyle w:val="Style16"/>
                <w:rFonts w:cs="Times New Roman"/>
                <w:b/>
                <w:bCs/>
                <w:i w:val="false"/>
                <w:sz w:val="28"/>
                <w:szCs w:val="28"/>
                <w:lang w:val="uk-UA" w:eastAsia="zh-CN" w:bidi="hi-IN"/>
              </w:rPr>
              <w:t>Цифрова грамотність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використовувати комп’ютерні пристрої, базове офісне та спеціалізоване програмне забезпечення для ефективного виконання своїх посадових обов’язків;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обов’язків; вміти користуватися кваліфікованим електронним підписом (КЕП)</w:t>
            </w:r>
          </w:p>
        </w:tc>
      </w:tr>
      <w:tr>
        <w:trPr/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Професійні знання</w:t>
            </w:r>
          </w:p>
        </w:tc>
      </w:tr>
      <w:tr>
        <w:trPr/>
        <w:tc>
          <w:tcPr>
            <w:tcW w:w="28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Вимога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ind w:left="171" w:right="152" w:hanging="171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Компоненти вимоги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/>
            </w:pPr>
            <w:r>
              <w:rPr>
                <w:b/>
                <w:bCs/>
                <w:sz w:val="28"/>
                <w:szCs w:val="28"/>
              </w:rPr>
              <w:t>Знання  законодавства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ind w:left="171" w:right="152" w:hanging="17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Знання:</w:t>
            </w:r>
          </w:p>
          <w:p>
            <w:pPr>
              <w:pStyle w:val="Normal"/>
              <w:ind w:left="165" w:right="165" w:hanging="18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- Конституції України;</w:t>
            </w:r>
          </w:p>
          <w:p>
            <w:pPr>
              <w:pStyle w:val="Normal"/>
              <w:ind w:left="165" w:right="165" w:hanging="18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- Бюджетний кодекс України;</w:t>
            </w:r>
          </w:p>
          <w:p>
            <w:pPr>
              <w:pStyle w:val="Normal"/>
              <w:ind w:left="165" w:right="165" w:hanging="18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 Закону України “Про державну службу”;</w:t>
            </w:r>
          </w:p>
          <w:p>
            <w:pPr>
              <w:pStyle w:val="Normal"/>
              <w:snapToGrid w:val="false"/>
              <w:ind w:left="165" w:right="165" w:hanging="165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 Закону України “Про запобігання корупції”.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7"/>
              <w:snapToGrid w:val="false"/>
              <w:jc w:val="both"/>
              <w:rPr/>
            </w:pPr>
            <w:r>
              <w:rPr>
                <w:b/>
                <w:bCs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Normal"/>
              <w:ind w:left="0" w:right="51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 Порядок розроблення, затвердження та виконання бюджету Пенсійного фонду України, затверджений постановою правління Пенсійного фонду України 31 серпня 2009 року № 21-2 (у редакції постанови правління Пенсійного фонду України від 19 травня 2014 року № 8-1) зареєстрована в Міністерстві юстиції України 05 червня 2014 року за № 590/25367</w:t>
            </w:r>
            <w:r>
              <w:rPr>
                <w:rFonts w:cs="Times New Roman"/>
                <w:color w:val="00000A"/>
                <w:sz w:val="28"/>
                <w:szCs w:val="28"/>
                <w:lang w:val="uk-UA"/>
              </w:rPr>
              <w:t>;</w:t>
            </w:r>
          </w:p>
          <w:p>
            <w:pPr>
              <w:pStyle w:val="Normal"/>
              <w:widowControl/>
              <w:suppressAutoHyphens w:val="true"/>
              <w:bidi w:val="0"/>
              <w:ind w:left="0" w:right="170" w:hanging="0"/>
              <w:jc w:val="both"/>
              <w:rPr/>
            </w:pP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- Постанова Кабінету Міністрів України № 1279 від 16.12.2020 “Деякі питання організації виплати пенсій та грошової допомоги”;</w:t>
            </w:r>
          </w:p>
          <w:p>
            <w:pPr>
              <w:pStyle w:val="Normal"/>
              <w:ind w:left="0" w:right="51" w:hanging="0"/>
              <w:jc w:val="both"/>
              <w:rPr/>
            </w:pP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- Інструкція про порядок переказування пенсій громадянам, які виїхали на постійне місце проживання за кордон, та виплати пенсій пенсіонерам іноземних держав, які проживають в Україні, затверджена постановою правління Пенсійного фонду України 23 квітня 1999 року № 4-5 (у редакції постанови правління Пенсійного фонду України від 20 травня 2015 року № 10-1) зареєстрована в Міністерстві юстиції України 08 червня 2015 року за № 676/27121 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567" w:header="0" w:top="600" w:footer="0" w:bottom="578" w:gutter="0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720"/>
      </w:pPr>
    </w:lvl>
    <w:lvl w:ilvl="3">
      <w:start w:val="1"/>
      <w:pStyle w:val="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zh-CN" w:bidi="ar-SA"/>
    </w:rPr>
  </w:style>
  <w:style w:type="paragraph" w:styleId="2">
    <w:name w:val="Heading 2"/>
    <w:basedOn w:val="Normal"/>
    <w:qFormat/>
    <w:pPr>
      <w:keepNext w:val="true"/>
      <w:numPr>
        <w:ilvl w:val="1"/>
        <w:numId w:val="1"/>
      </w:numPr>
      <w:spacing w:lineRule="auto" w:line="276"/>
      <w:jc w:val="center"/>
      <w:outlineLvl w:val="1"/>
    </w:pPr>
    <w:rPr>
      <w:rFonts w:eastAsia="Calibri"/>
      <w:b/>
      <w:sz w:val="28"/>
      <w:szCs w:val="28"/>
      <w:lang w:val="ru-RU"/>
    </w:rPr>
  </w:style>
  <w:style w:type="paragraph" w:styleId="3">
    <w:name w:val="Heading 3"/>
    <w:basedOn w:val="Normal"/>
    <w:qFormat/>
    <w:pPr>
      <w:keepNext w:val="true"/>
      <w:numPr>
        <w:ilvl w:val="2"/>
        <w:numId w:val="1"/>
      </w:numPr>
      <w:jc w:val="right"/>
      <w:outlineLvl w:val="2"/>
    </w:pPr>
    <w:rPr>
      <w:b/>
      <w:sz w:val="28"/>
      <w:szCs w:val="20"/>
    </w:rPr>
  </w:style>
  <w:style w:type="paragraph" w:styleId="4">
    <w:name w:val="Heading 4"/>
    <w:basedOn w:val="Style17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Style11">
    <w:name w:val="Символ нумерации"/>
    <w:qFormat/>
    <w:rPr/>
  </w:style>
  <w:style w:type="character" w:styleId="Style12">
    <w:name w:val="Текст выноски Знак"/>
    <w:basedOn w:val="DefaultParagraphFont"/>
    <w:qFormat/>
    <w:rPr>
      <w:rFonts w:ascii="Tahoma" w:hAnsi="Tahoma" w:eastAsia="Times New Roman" w:cs="Tahoma"/>
      <w:color w:val="000000"/>
      <w:sz w:val="16"/>
      <w:szCs w:val="16"/>
      <w:lang w:bidi="ar-SA"/>
    </w:rPr>
  </w:style>
  <w:style w:type="character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styleId="Style13">
    <w:name w:val="Гіперпосилання"/>
    <w:rPr>
      <w:color w:val="000080"/>
      <w:u w:val="single"/>
      <w:lang w:val="zxx" w:eastAsia="zxx" w:bidi="zxx"/>
    </w:rPr>
  </w:style>
  <w:style w:type="character" w:styleId="Style14">
    <w:name w:val="Виділення"/>
    <w:qFormat/>
    <w:rPr>
      <w:i/>
      <w:iCs/>
    </w:rPr>
  </w:style>
  <w:style w:type="character" w:styleId="WW">
    <w:name w:val="WW-Гіперпосилання"/>
    <w:qFormat/>
    <w:rPr>
      <w:color w:val="000080"/>
      <w:u w:val="single"/>
      <w:lang w:val="zxx" w:eastAsia="zxx" w:bidi="zxx"/>
    </w:rPr>
  </w:style>
  <w:style w:type="character" w:styleId="WW1">
    <w:name w:val="WW-Виділення"/>
    <w:qFormat/>
    <w:rPr>
      <w:i/>
      <w:iCs/>
    </w:rPr>
  </w:style>
  <w:style w:type="character" w:styleId="Style15">
    <w:name w:val="Маркери списку"/>
    <w:qFormat/>
    <w:rPr>
      <w:rFonts w:ascii="OpenSymbol;Arial Unicode MS" w:hAnsi="OpenSymbol;Arial Unicode MS" w:eastAsia="OpenSymbol;Arial Unicode MS" w:cs="OpenSymbol;Arial Unicode MS"/>
    </w:rPr>
  </w:style>
  <w:style w:type="character" w:styleId="ListLabel1">
    <w:name w:val="ListLabel 1"/>
    <w:qFormat/>
    <w:rPr>
      <w:rFonts w:cs="OpenSymbol;Arial Unicode MS"/>
    </w:rPr>
  </w:style>
  <w:style w:type="character" w:styleId="ListLabel2">
    <w:name w:val="ListLabel 2"/>
    <w:qFormat/>
    <w:rPr>
      <w:rFonts w:cs="OpenSymbol;Arial Unicode MS"/>
    </w:rPr>
  </w:style>
  <w:style w:type="character" w:styleId="ListLabel3">
    <w:name w:val="ListLabel 3"/>
    <w:qFormat/>
    <w:rPr>
      <w:rFonts w:cs="OpenSymbol;Arial Unicode MS"/>
    </w:rPr>
  </w:style>
  <w:style w:type="character" w:styleId="ListLabel4">
    <w:name w:val="ListLabel 4"/>
    <w:qFormat/>
    <w:rPr>
      <w:rFonts w:cs="OpenSymbol;Arial Unicode MS"/>
    </w:rPr>
  </w:style>
  <w:style w:type="character" w:styleId="ListLabel5">
    <w:name w:val="ListLabel 5"/>
    <w:qFormat/>
    <w:rPr>
      <w:rFonts w:cs="OpenSymbol;Arial Unicode MS"/>
    </w:rPr>
  </w:style>
  <w:style w:type="character" w:styleId="ListLabel6">
    <w:name w:val="ListLabel 6"/>
    <w:qFormat/>
    <w:rPr>
      <w:rFonts w:cs="OpenSymbol;Arial Unicode MS"/>
    </w:rPr>
  </w:style>
  <w:style w:type="character" w:styleId="ListLabel7">
    <w:name w:val="ListLabel 7"/>
    <w:qFormat/>
    <w:rPr>
      <w:rFonts w:cs="OpenSymbol;Arial Unicode MS"/>
    </w:rPr>
  </w:style>
  <w:style w:type="character" w:styleId="ListLabel8">
    <w:name w:val="ListLabel 8"/>
    <w:qFormat/>
    <w:rPr>
      <w:rFonts w:cs="OpenSymbol;Arial Unicode MS"/>
    </w:rPr>
  </w:style>
  <w:style w:type="character" w:styleId="ListLabel9">
    <w:name w:val="ListLabel 9"/>
    <w:qFormat/>
    <w:rPr>
      <w:rFonts w:cs="OpenSymbol;Arial Unicode MS"/>
    </w:rPr>
  </w:style>
  <w:style w:type="character" w:styleId="ListLabel10">
    <w:name w:val="ListLabel 10"/>
    <w:qFormat/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1">
    <w:name w:val="ListLabel 11"/>
    <w:qFormat/>
    <w:rPr>
      <w:rFonts w:ascii="Times New Roman" w:hAnsi="Times New Roman" w:cs="Times New Roman"/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2">
    <w:name w:val="ListLabel 12"/>
    <w:qFormat/>
    <w:rPr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3">
    <w:name w:val="ListLabel 13"/>
    <w:qFormat/>
    <w:rPr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4">
    <w:name w:val="ListLabel 14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5">
    <w:name w:val="ListLabel 15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6">
    <w:name w:val="ListLabel 16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Style16">
    <w:name w:val="Выделение"/>
    <w:qFormat/>
    <w:rPr>
      <w:i/>
      <w:i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Покажчик"/>
    <w:basedOn w:val="Normal"/>
    <w:qFormat/>
    <w:pPr>
      <w:suppressLineNumbers/>
    </w:pPr>
    <w:rPr>
      <w:rFonts w:cs="Arial"/>
    </w:rPr>
  </w:style>
  <w:style w:type="paragraph" w:styleId="Style22">
    <w:name w:val="Название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Index1">
    <w:name w:val="index 1"/>
    <w:basedOn w:val="Normal"/>
    <w:qFormat/>
    <w:pPr>
      <w:spacing w:lineRule="atLeast" w:line="240"/>
      <w:ind w:left="0" w:right="-6" w:hanging="0"/>
      <w:jc w:val="center"/>
    </w:pPr>
    <w:rPr>
      <w:b/>
      <w:sz w:val="28"/>
      <w:szCs w:val="20"/>
      <w:lang w:val="ru-RU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Body Text Indent"/>
    <w:basedOn w:val="Normal"/>
    <w:pPr>
      <w:spacing w:before="0" w:after="120"/>
      <w:ind w:left="283" w:right="0" w:hanging="0"/>
    </w:pPr>
    <w:rPr/>
  </w:style>
  <w:style w:type="paragraph" w:styleId="WW2">
    <w:name w:val="WW-Базовый"/>
    <w:qFormat/>
    <w:pPr>
      <w:widowControl w:val="false"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hi-IN" w:bidi="hi-IN"/>
    </w:rPr>
  </w:style>
  <w:style w:type="paragraph" w:styleId="BodyTextIndent3">
    <w:name w:val="Body Text Indent 3"/>
    <w:basedOn w:val="WW2"/>
    <w:qFormat/>
    <w:pPr>
      <w:ind w:left="4678" w:right="0" w:hanging="0"/>
      <w:jc w:val="center"/>
      <w:textAlignment w:val="baseline"/>
    </w:pPr>
    <w:rPr>
      <w:sz w:val="28"/>
      <w:lang w:eastAsia="ru-RU"/>
    </w:rPr>
  </w:style>
  <w:style w:type="paragraph" w:styleId="Style27">
    <w:name w:val="Вміст таблиці"/>
    <w:basedOn w:val="Normal"/>
    <w:qFormat/>
    <w:pPr>
      <w:suppressLineNumbers/>
    </w:pPr>
    <w:rPr/>
  </w:style>
  <w:style w:type="paragraph" w:styleId="Style28">
    <w:name w:val="Заголовок таблиці"/>
    <w:basedOn w:val="Style27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Обычный (веб)"/>
    <w:basedOn w:val="Normal"/>
    <w:qFormat/>
    <w:pPr>
      <w:spacing w:before="280" w:after="280"/>
    </w:pPr>
    <w:rPr>
      <w:sz w:val="24"/>
      <w:szCs w:val="24"/>
      <w:lang w:val="ru-RU"/>
    </w:rPr>
  </w:style>
  <w:style w:type="paragraph" w:styleId="Rvps12">
    <w:name w:val="rvps12"/>
    <w:basedOn w:val="Normal"/>
    <w:qFormat/>
    <w:pPr>
      <w:spacing w:before="280" w:after="28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Application>LibreOffice/5.4.4.2$Windows_X86_64 LibreOffice_project/2524958677847fb3bb44820e40380acbe820f960</Application>
  <Pages>4</Pages>
  <Words>919</Words>
  <Characters>6147</Characters>
  <CharactersWithSpaces>7011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2020-10-27T16:50:00Z</dcterms:created>
  <dc:creator>kadr2</dc:creator>
  <dc:description/>
  <dc:language>uk-UA</dc:language>
  <cp:lastModifiedBy/>
  <cp:lastPrinted>2021-08-27T15:39:33Z</cp:lastPrinted>
  <dcterms:modified xsi:type="dcterms:W3CDTF">2022-01-20T10:24:10Z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