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</w:r>
    </w:p>
    <w:tbl>
      <w:tblPr>
        <w:tblW w:w="9735" w:type="dxa"/>
        <w:jc w:val="left"/>
        <w:tblInd w:w="-5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397"/>
        <w:gridCol w:w="4291"/>
      </w:tblGrid>
      <w:tr>
        <w:trPr/>
        <w:tc>
          <w:tcPr>
            <w:tcW w:w="3047" w:type="dxa"/>
            <w:tcBorders/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ind w:left="0" w:right="-284" w:hanging="0"/>
              <w:jc w:val="both"/>
              <w:rPr>
                <w:rFonts w:eastAsia="Times New Roman" w:cs="Times New Roman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2A2928"/>
                <w:sz w:val="28"/>
                <w:szCs w:val="28"/>
                <w:lang w:eastAsia="uk-UA"/>
              </w:rPr>
            </w:r>
          </w:p>
        </w:tc>
        <w:tc>
          <w:tcPr>
            <w:tcW w:w="2397" w:type="dxa"/>
            <w:tcBorders/>
            <w:shd w:fill="FFFFFF" w:val="clear"/>
          </w:tcPr>
          <w:p>
            <w:pPr>
              <w:pStyle w:val="Normal"/>
              <w:snapToGrid w:val="false"/>
              <w:spacing w:lineRule="auto" w:line="240" w:before="0" w:after="0"/>
              <w:ind w:left="0" w:right="-284" w:hanging="0"/>
              <w:jc w:val="both"/>
              <w:rPr>
                <w:rFonts w:eastAsia="Times New Roman" w:cs="Times New Roman"/>
                <w:b w:val="false"/>
                <w:b w:val="false"/>
                <w:bCs w:val="false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</w:r>
          </w:p>
        </w:tc>
        <w:tc>
          <w:tcPr>
            <w:tcW w:w="4291" w:type="dxa"/>
            <w:tcBorders/>
            <w:shd w:fill="FFFFFF" w:val="clear"/>
          </w:tcPr>
          <w:p>
            <w:pPr>
              <w:pStyle w:val="Normal"/>
              <w:spacing w:lineRule="auto" w:line="240" w:before="0" w:after="0"/>
              <w:ind w:left="-108" w:right="-284" w:hanging="0"/>
              <w:rPr>
                <w:rFonts w:eastAsia="Times New Roman" w:cs="Times New Roman"/>
                <w:b w:val="false"/>
                <w:b w:val="false"/>
                <w:bCs w:val="false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  <w:t>ЗАТВЕРДЖЕНО</w:t>
            </w:r>
          </w:p>
          <w:p>
            <w:pPr>
              <w:pStyle w:val="Normal"/>
              <w:spacing w:lineRule="auto" w:line="240" w:before="0" w:after="0"/>
              <w:ind w:left="-108" w:right="-284" w:hanging="0"/>
              <w:rPr>
                <w:rFonts w:eastAsia="Times New Roman" w:cs="Times New Roman"/>
                <w:b w:val="false"/>
                <w:b w:val="false"/>
                <w:bCs w:val="false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  <w:t>Наказ Головного управління Пенсійного фонду України в Рівненській області</w:t>
            </w:r>
          </w:p>
          <w:p>
            <w:pPr>
              <w:pStyle w:val="Normal"/>
              <w:spacing w:lineRule="auto" w:line="240" w:before="0" w:after="0"/>
              <w:ind w:left="-108" w:right="-284" w:hanging="0"/>
              <w:rPr/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u w:val="single"/>
                <w:lang w:eastAsia="uk-UA"/>
              </w:rPr>
              <w:t>14.02.2022</w:t>
            </w: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u w:val="none"/>
                <w:lang w:eastAsia="uk-UA"/>
              </w:rPr>
              <w:t xml:space="preserve"> № </w:t>
            </w: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u w:val="single"/>
                <w:lang w:eastAsia="uk-UA"/>
              </w:rPr>
              <w:t>159</w:t>
            </w:r>
          </w:p>
          <w:p>
            <w:pPr>
              <w:pStyle w:val="Normal"/>
              <w:spacing w:lineRule="auto" w:line="240" w:before="0" w:after="0"/>
              <w:ind w:left="0" w:right="-284" w:hanging="0"/>
              <w:rPr>
                <w:rFonts w:eastAsia="Times New Roman" w:cs="Times New Roman"/>
                <w:b w:val="false"/>
                <w:b w:val="false"/>
                <w:bCs w:val="false"/>
                <w:color w:val="2A2928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/>
                <w:b w:val="false"/>
                <w:bCs w:val="false"/>
                <w:color w:val="2A2928"/>
                <w:sz w:val="28"/>
                <w:szCs w:val="28"/>
                <w:lang w:eastAsia="uk-U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УМОВИ </w:t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проведення конкурсу на зайняття посади державної служби категорії “Б” - заступника начальника відділу з ретроконверсії № 1 </w:t>
      </w:r>
      <w:bookmarkStart w:id="0" w:name="__DdeLink__796_3217665"/>
      <w:r>
        <w:rPr>
          <w:b/>
          <w:bCs/>
          <w:sz w:val="28"/>
          <w:szCs w:val="28"/>
        </w:rPr>
        <w:t xml:space="preserve">управління </w:t>
      </w:r>
      <w:bookmarkEnd w:id="0"/>
      <w:r>
        <w:rPr>
          <w:b/>
          <w:bCs/>
          <w:sz w:val="28"/>
          <w:szCs w:val="28"/>
        </w:rPr>
        <w:t xml:space="preserve">з ретроконверсії </w:t>
      </w: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uk-UA" w:eastAsia="zh-CN" w:bidi="ar-SA"/>
        </w:rPr>
        <w:t xml:space="preserve">(віддалене робоче місце місто Рівне, вул. Яворницького, 34)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710" w:type="dxa"/>
        <w:jc w:val="left"/>
        <w:tblInd w:w="27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-2" w:type="dxa"/>
          <w:bottom w:w="55" w:type="dxa"/>
          <w:right w:w="42" w:type="dxa"/>
        </w:tblCellMar>
      </w:tblPr>
      <w:tblGrid>
        <w:gridCol w:w="505"/>
        <w:gridCol w:w="2319"/>
        <w:gridCol w:w="591"/>
        <w:gridCol w:w="6295"/>
      </w:tblGrid>
      <w:tr>
        <w:trPr>
          <w:trHeight w:val="354" w:hRule="atLeast"/>
        </w:trPr>
        <w:tc>
          <w:tcPr>
            <w:tcW w:w="971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Загальні умови</w:t>
            </w:r>
          </w:p>
        </w:tc>
      </w:tr>
      <w:tr>
        <w:trPr/>
        <w:tc>
          <w:tcPr>
            <w:tcW w:w="341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9" w:type="dxa"/>
              <w:right w:w="55" w:type="dxa"/>
            </w:tcMar>
          </w:tcPr>
          <w:p>
            <w:pPr>
              <w:pStyle w:val="Style24"/>
              <w:jc w:val="left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Посадові обов</w:t>
            </w:r>
            <w:r>
              <w:rPr>
                <w:rFonts w:cs="Times New Roman"/>
                <w:b/>
                <w:bCs/>
                <w:sz w:val="28"/>
                <w:szCs w:val="28"/>
                <w:lang w:val="en-US"/>
              </w:rPr>
              <w:t>'</w:t>
            </w: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язки</w:t>
            </w:r>
          </w:p>
        </w:tc>
        <w:tc>
          <w:tcPr>
            <w:tcW w:w="62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9" w:type="dxa"/>
              <w:right w:w="55" w:type="dxa"/>
            </w:tcMar>
          </w:tcPr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sz w:val="28"/>
                <w:szCs w:val="28"/>
                <w:highlight w:val="white"/>
                <w:lang w:val="uk-UA" w:eastAsia="zh-CN" w:bidi="ar-SA"/>
              </w:rPr>
              <w:t>- прийняття пенсійних справ від відділів з питань перерахунків пенсій;</w:t>
            </w:r>
          </w:p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sz w:val="28"/>
                <w:szCs w:val="28"/>
                <w:highlight w:val="white"/>
                <w:lang w:val="uk-UA" w:eastAsia="zh-CN" w:bidi="ar-SA"/>
              </w:rPr>
              <w:t>- надання практичної, консультативної та методичної допомоги спеціалістам відділу з ретроконверсії щодо роботи з програмним забезпеченням АРМ “Ретроконверсія” та порядку проведення оцифрування пенсійних справ;</w:t>
            </w:r>
          </w:p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sz w:val="28"/>
                <w:szCs w:val="28"/>
                <w:highlight w:val="white"/>
                <w:lang w:val="uk-UA" w:eastAsia="zh-CN" w:bidi="ar-SA"/>
              </w:rPr>
              <w:t>- організація роботи з оцифрування пенсійних справ та здійснення контролю за проходженням пенсійних справ до їх передачі в центральний електронний архів;</w:t>
            </w:r>
          </w:p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sz w:val="28"/>
                <w:szCs w:val="28"/>
                <w:highlight w:val="white"/>
                <w:lang w:val="uk-UA" w:eastAsia="zh-CN" w:bidi="ar-SA"/>
              </w:rPr>
              <w:t>- формування заявки на право доступу користувачам до системи Центру ретроспективної конверсії;</w:t>
            </w:r>
          </w:p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sz w:val="28"/>
                <w:szCs w:val="28"/>
                <w:highlight w:val="white"/>
                <w:lang w:val="uk-UA" w:eastAsia="zh-CN" w:bidi="ar-SA"/>
              </w:rPr>
              <w:t>- проведення контролю за проходженням пенсійних справ на всіх етапах оцифрування та забезпечення скорочення термінів їх обробки;</w:t>
            </w:r>
          </w:p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sz w:val="28"/>
                <w:szCs w:val="28"/>
                <w:highlight w:val="white"/>
                <w:lang w:val="uk-UA" w:eastAsia="zh-CN" w:bidi="ar-SA"/>
              </w:rPr>
              <w:t>- направлення пропозицій розробнику  щодо вдосконалення програмного забезпечення з оцифрування пенсійних справ АРМ “Ретроконверсія”;</w:t>
            </w:r>
          </w:p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sz w:val="28"/>
                <w:szCs w:val="28"/>
                <w:highlight w:val="white"/>
                <w:lang w:val="uk-UA" w:eastAsia="zh-CN" w:bidi="ar-SA"/>
              </w:rPr>
              <w:t>-  забезпечення відправлення паперових пенсійних справ до відділів з питань перерахунків пенсій;</w:t>
            </w:r>
          </w:p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sz w:val="28"/>
                <w:szCs w:val="28"/>
                <w:highlight w:val="white"/>
                <w:lang w:val="uk-UA" w:eastAsia="zh-CN" w:bidi="ar-SA"/>
              </w:rPr>
              <w:t>- участь у здійсненні заходів щодо реалізації завдань, визначених Стратегією модернізації та розвитку Пенсійного фонду України щодо оцифрування пенсійних справ;</w:t>
            </w:r>
          </w:p>
          <w:p>
            <w:pPr>
              <w:pStyle w:val="Style29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both"/>
              <w:rPr/>
            </w:pPr>
            <w:r>
              <w:rPr>
                <w:rStyle w:val="FontStyle15"/>
                <w:color w:val="000000"/>
                <w:sz w:val="28"/>
                <w:szCs w:val="28"/>
                <w:highlight w:val="white"/>
                <w:lang w:val="uk-UA" w:eastAsia="zh-CN" w:bidi="ar-SA"/>
              </w:rPr>
              <w:t>- проведення іншої роботи направленої на забезпечення виконання Положення про управління.</w:t>
            </w:r>
          </w:p>
        </w:tc>
      </w:tr>
      <w:tr>
        <w:trPr/>
        <w:tc>
          <w:tcPr>
            <w:tcW w:w="341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Умови оплати праці </w:t>
            </w:r>
          </w:p>
        </w:tc>
        <w:tc>
          <w:tcPr>
            <w:tcW w:w="62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spacing w:lineRule="auto" w:line="24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 xml:space="preserve">посадовий оклад — 6700 грн., надбавки, доплати, премії та компенсації відповідно до статті 52 Закону України “Про державну службу”; надбавка до посадового окладу за ранг відповідно до постанови Кабінету Міністрів України від 18 січня 2017 року № 15 “Питання оплати праці працівників державних органів” (із змінами). </w:t>
            </w:r>
          </w:p>
        </w:tc>
      </w:tr>
      <w:tr>
        <w:trPr/>
        <w:tc>
          <w:tcPr>
            <w:tcW w:w="341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Інформація про строковість чи безстроковість призначення на посаду  </w:t>
            </w:r>
          </w:p>
        </w:tc>
        <w:tc>
          <w:tcPr>
            <w:tcW w:w="62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jc w:val="both"/>
              <w:rPr>
                <w:rFonts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  <w:lang w:val="uk-UA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  <w:lang w:val="uk-UA" w:eastAsia="zh-CN" w:bidi="ar-SA"/>
              </w:rPr>
              <w:t>безстроково. Строк призначення особи, яка досягла 65-річного віку, становить один рік з правом повторного призначення без обов’язкового проведення конкурсу щороку)</w:t>
            </w:r>
          </w:p>
        </w:tc>
      </w:tr>
      <w:tr>
        <w:trPr/>
        <w:tc>
          <w:tcPr>
            <w:tcW w:w="341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uk-UA"/>
              </w:rPr>
              <w:t xml:space="preserve">Перелік інформації, необхідної для участі в конкурсі, та строк її подання </w:t>
            </w:r>
          </w:p>
        </w:tc>
        <w:tc>
          <w:tcPr>
            <w:tcW w:w="62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1) заяву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 березня 2016 р. № 246 (зі змінами);</w:t>
            </w:r>
          </w:p>
          <w:p>
            <w:pPr>
              <w:pStyle w:val="Rvps12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cs="Times New Roman"/>
                <w:b w:val="false"/>
                <w:bCs w:val="false"/>
                <w:color w:val="000000"/>
                <w:sz w:val="28"/>
                <w:szCs w:val="28"/>
                <w:lang w:val="uk-UA"/>
              </w:rPr>
              <w:t>2) рез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юме за формою згідно з </w:t>
            </w:r>
            <w:r>
              <w:fldChar w:fldCharType="begin"/>
            </w:r>
            <w:r>
              <w:instrText> HYPERLINK "https://zakon.rada.gov.ua/laws/show/246-2016-п/print" \l "n1039"</w:instrText>
            </w:r>
            <w:r>
              <w:fldChar w:fldCharType="separate"/>
            </w:r>
            <w:r>
              <w:rPr>
                <w:rStyle w:val="WW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додатком 2</w:t>
            </w:r>
            <w:r>
              <w:fldChar w:fldCharType="end"/>
            </w:r>
            <w:r>
              <w:fldChar w:fldCharType="begin"/>
            </w:r>
            <w:r>
              <w:instrText> HYPERLINK "https://zakon.rada.gov.ua/laws/show/246-2016-п/print" \l "n1039"</w:instrText>
            </w:r>
            <w:r>
              <w:fldChar w:fldCharType="separate"/>
            </w:r>
            <w:r>
              <w:rPr>
                <w:rStyle w:val="WW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-1</w:t>
            </w:r>
            <w:r>
              <w:fldChar w:fldCharType="end"/>
            </w:r>
            <w:r>
              <w:rPr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, в якому обов’язково зазначається така інформація: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1" w:name="n11721"/>
            <w:bookmarkEnd w:id="1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прізвище, ім’я, по батькові кандидата;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2" w:name="n11731"/>
            <w:bookmarkEnd w:id="2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реквізити документа, що посвідчує особу та підтверджує громадянство України;</w:t>
            </w:r>
          </w:p>
          <w:p>
            <w:pPr>
              <w:pStyle w:val="Style18"/>
              <w:widowControl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</w:pPr>
            <w:bookmarkStart w:id="3" w:name="n11741"/>
            <w:bookmarkEnd w:id="3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</w:rPr>
              <w:t>підтвердження наявності відповідного ступеня вищої освіти;</w:t>
            </w:r>
          </w:p>
          <w:p>
            <w:pPr>
              <w:pStyle w:val="Rvps12"/>
              <w:numPr>
                <w:ilvl w:val="0"/>
                <w:numId w:val="0"/>
              </w:numPr>
              <w:spacing w:lineRule="auto" w:line="240" w:before="0" w:after="0"/>
              <w:ind w:left="720" w:right="0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</w:pPr>
            <w:bookmarkStart w:id="4" w:name="n11761"/>
            <w:bookmarkEnd w:id="4"/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відомості про стаж роботи, стаж державної служби (за наявності), досвід роботи на відповідних посадах у відповідній сфері, визначеній в умовах конкурсу, та на керівних посадах (за наявності відповідних вимог)</w:t>
            </w:r>
          </w:p>
          <w:p>
            <w:pPr>
              <w:pStyle w:val="Rvps12"/>
              <w:spacing w:lineRule="auto" w:line="240" w:before="0" w:after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3) з</w:t>
            </w:r>
            <w:r>
              <w:rPr>
                <w:rFonts w:cs="Times New Roman"/>
                <w:color w:val="000000"/>
                <w:sz w:val="28"/>
                <w:szCs w:val="28"/>
              </w:rPr>
              <w:t>аяву</w:t>
            </w: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, в якій повідомляє, що до неї не застосовуються заборони, визначені </w:t>
            </w:r>
            <w:r>
              <w:rPr>
                <w:rStyle w:val="Style13"/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>частиною третьою</w:t>
            </w:r>
            <w:r>
              <w:rPr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 xml:space="preserve"> або </w:t>
            </w:r>
            <w:r>
              <w:rPr>
                <w:rStyle w:val="Style13"/>
                <w:rFonts w:cs="Times New Roman"/>
                <w:color w:val="000000"/>
                <w:sz w:val="28"/>
                <w:szCs w:val="28"/>
                <w:u w:val="none"/>
                <w:lang w:val="uk-UA" w:eastAsia="zh-CN" w:bidi="hi-IN"/>
              </w:rPr>
              <w:t>четвертою</w:t>
            </w: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 статті 1 Закону України “Про очищення влади”, та надає згоду на проходження перевірки та на оприлюднення відомостей стосовно неї відповідно до зазначеного Закону;</w:t>
            </w:r>
          </w:p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>Подача додатків до заяви не є обов’язковою.</w:t>
            </w:r>
          </w:p>
          <w:p>
            <w:pPr>
              <w:pStyle w:val="Style18"/>
              <w:widowControl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3</w:t>
            </w:r>
            <w:r>
              <w:rPr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6"/>
                <w:u w:val="none"/>
                <w:lang w:val="uk-UA"/>
              </w:rPr>
              <w:t>-1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u w:val="none"/>
                <w:lang w:val="uk-UA"/>
              </w:rPr>
              <w:t>) копію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Документи приймаються до 17 год. 00 хв.           </w:t>
            </w:r>
          </w:p>
          <w:p>
            <w:pPr>
              <w:pStyle w:val="Rvps12"/>
              <w:spacing w:lineRule="auto" w:line="240" w:before="0" w:after="0"/>
              <w:jc w:val="both"/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 w:eastAsia="zh-CN" w:bidi="hi-IN"/>
              </w:rPr>
              <w:t xml:space="preserve">24 лютого 2022 року. </w:t>
            </w:r>
          </w:p>
        </w:tc>
      </w:tr>
      <w:tr>
        <w:trPr/>
        <w:tc>
          <w:tcPr>
            <w:tcW w:w="341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/>
            </w:pPr>
            <w:r>
              <w:rPr>
                <w:b/>
                <w:bCs/>
                <w:sz w:val="28"/>
                <w:szCs w:val="28"/>
              </w:rPr>
              <w:t>Додаткові (необов’</w:t>
            </w:r>
            <w:r>
              <w:rPr>
                <w:b/>
                <w:bCs/>
                <w:sz w:val="28"/>
                <w:szCs w:val="28"/>
                <w:lang w:val="uk-UA"/>
              </w:rPr>
              <w:t>язкові) документи</w:t>
            </w:r>
          </w:p>
        </w:tc>
        <w:tc>
          <w:tcPr>
            <w:tcW w:w="62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</w:t>
            </w:r>
          </w:p>
        </w:tc>
      </w:tr>
      <w:tr>
        <w:trPr/>
        <w:tc>
          <w:tcPr>
            <w:tcW w:w="341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Дата і час початку проведення тестування кандидатів. </w:t>
            </w:r>
          </w:p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Місце або спосіб проведення тестування.</w:t>
            </w:r>
          </w:p>
          <w:p>
            <w:pPr>
              <w:pStyle w:val="Style24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Style24"/>
              <w:jc w:val="left"/>
              <w:rPr/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>
            <w:pPr>
              <w:pStyle w:val="Style24"/>
              <w:spacing w:before="0" w:after="0"/>
              <w:ind w:left="0" w:right="0"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Style27"/>
              <w:spacing w:before="0" w:after="0"/>
              <w:ind w:left="0" w:right="0" w:hanging="0"/>
              <w:jc w:val="left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62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Rvps12"/>
              <w:spacing w:before="0" w:after="0"/>
              <w:jc w:val="both"/>
              <w:rPr/>
            </w:pPr>
            <w:r>
              <w:rPr>
                <w:sz w:val="28"/>
                <w:szCs w:val="28"/>
                <w:lang w:val="uk-UA"/>
              </w:rPr>
              <w:t>01</w:t>
            </w:r>
            <w:r>
              <w:rPr>
                <w:sz w:val="28"/>
                <w:szCs w:val="28"/>
              </w:rPr>
              <w:t xml:space="preserve"> березня 2022 року 09 год. 00 хв.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Рівне, вул. Короленка, 7 (проведення тестування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bookmarkStart w:id="5" w:name="__DdeLink__14942_3241170014"/>
            <w:bookmarkEnd w:id="5"/>
            <w:r>
              <w:rPr>
                <w:sz w:val="28"/>
                <w:szCs w:val="28"/>
              </w:rPr>
              <w:t>м. Рівне, вул. Короленка, 7 (проведення співбесіди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bookmarkStart w:id="6" w:name="__DdeLink__14942_32411700141"/>
            <w:bookmarkStart w:id="7" w:name="__DdeLink__14942_32411700141"/>
            <w:bookmarkEnd w:id="7"/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Рівне, вул. Короленка, 7 (проведення співбесіди за фізичної присутності кандидата)</w:t>
            </w:r>
          </w:p>
          <w:p>
            <w:pPr>
              <w:pStyle w:val="Rvps1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341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/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Прізвище, ім</w:t>
            </w:r>
            <w:r>
              <w:rPr>
                <w:rFonts w:cs="Times New Roman"/>
                <w:b/>
                <w:bCs/>
                <w:sz w:val="28"/>
                <w:szCs w:val="28"/>
                <w:lang w:val="en-US"/>
              </w:rPr>
              <w:t>'</w:t>
            </w: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я та по батькові, номер телефону та адреса електронної пошти особи, яка надає додаткову інформацію з питань добору з призначення на вакантну посаду</w:t>
            </w:r>
          </w:p>
        </w:tc>
        <w:tc>
          <w:tcPr>
            <w:tcW w:w="62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Захарець Євгенія Миколаївна</w:t>
            </w:r>
          </w:p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>м.т.: 0362-63-33-42</w:t>
            </w:r>
          </w:p>
          <w:p>
            <w:pPr>
              <w:pStyle w:val="Style24"/>
              <w:rPr>
                <w:rFonts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lang w:val="uk-UA"/>
              </w:rPr>
              <w:t xml:space="preserve">kad@rv.pfu.gov.ua </w:t>
            </w:r>
          </w:p>
        </w:tc>
      </w:tr>
      <w:tr>
        <w:trPr>
          <w:trHeight w:val="358" w:hRule="atLeast"/>
        </w:trPr>
        <w:tc>
          <w:tcPr>
            <w:tcW w:w="971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Кваліфікаційні вимоги</w:t>
            </w:r>
          </w:p>
        </w:tc>
      </w:tr>
      <w:tr>
        <w:trPr/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Вища, не нижче ступеня магістра</w:t>
            </w:r>
          </w:p>
        </w:tc>
      </w:tr>
      <w:tr>
        <w:trPr>
          <w:trHeight w:val="673" w:hRule="atLeast"/>
        </w:trPr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Досвід роботи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Досвід роботи на посадах державної служби категорій “Б” чи “В”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  </w:t>
            </w:r>
          </w:p>
        </w:tc>
      </w:tr>
      <w:tr>
        <w:trPr/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Володіння державною мовою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  <w:vAlign w:val="center"/>
          </w:tcPr>
          <w:p>
            <w:pPr>
              <w:pStyle w:val="Normal"/>
              <w:snapToGrid w:val="false"/>
              <w:ind w:left="171" w:right="152" w:hanging="171"/>
              <w:rPr>
                <w:rFonts w:cs="Times New Roman"/>
                <w:sz w:val="12"/>
                <w:szCs w:val="12"/>
                <w:lang w:val="uk-UA"/>
              </w:rPr>
            </w:pPr>
            <w:r>
              <w:rPr>
                <w:rFonts w:cs="Times New Roman"/>
                <w:sz w:val="12"/>
                <w:szCs w:val="12"/>
                <w:lang w:val="uk-UA"/>
              </w:rPr>
            </w:r>
          </w:p>
          <w:p>
            <w:pPr>
              <w:pStyle w:val="Normal"/>
              <w:ind w:left="171" w:right="152" w:hanging="171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Вільне володіння державною мовою</w:t>
            </w:r>
          </w:p>
        </w:tc>
      </w:tr>
      <w:tr>
        <w:trPr>
          <w:trHeight w:val="447" w:hRule="atLeast"/>
        </w:trPr>
        <w:tc>
          <w:tcPr>
            <w:tcW w:w="971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 xml:space="preserve">Вимоги до компетентності </w:t>
            </w:r>
          </w:p>
        </w:tc>
      </w:tr>
      <w:tr>
        <w:trPr>
          <w:trHeight w:val="510" w:hRule="atLeast"/>
        </w:trPr>
        <w:tc>
          <w:tcPr>
            <w:tcW w:w="282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Вимога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jc w:val="center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Компоненти вимоги</w:t>
            </w:r>
          </w:p>
        </w:tc>
      </w:tr>
      <w:tr>
        <w:trPr>
          <w:trHeight w:val="342" w:hRule="atLeast"/>
        </w:trPr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/>
            </w:pPr>
            <w:r>
              <w:rPr/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both"/>
              <w:rPr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Цифрова грамотінсть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розуміння змісту завдання і його кінцевих результатів, самостійне визначення можливих шляхів досягнення </w:t>
            </w:r>
          </w:p>
        </w:tc>
      </w:tr>
      <w:tr>
        <w:trPr/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/>
            </w:pPr>
            <w:r>
              <w:rPr/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left"/>
              <w:rPr>
                <w:rFonts w:cs="Times New Roman"/>
                <w:b/>
                <w:b/>
                <w:bCs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 w:eastAsia="zh-CN" w:bidi="hi-IN"/>
              </w:rPr>
              <w:t>Аналітичні здібності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встановлювати причинно-наслідкові зв’язки;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>
        <w:trPr/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widowControl/>
              <w:suppressLineNumbers/>
              <w:suppressAutoHyphens w:val="true"/>
              <w:bidi w:val="0"/>
              <w:snapToGrid w:val="false"/>
              <w:ind w:left="0" w:right="0" w:hanging="0"/>
              <w:jc w:val="left"/>
              <w:rPr/>
            </w:pPr>
            <w:r>
              <w:rPr>
                <w:rStyle w:val="Style16"/>
                <w:rFonts w:cs="Times New Roman"/>
                <w:b/>
                <w:bCs/>
                <w:i w:val="false"/>
                <w:sz w:val="28"/>
                <w:szCs w:val="28"/>
                <w:lang w:val="uk-UA" w:eastAsia="zh-CN" w:bidi="hi-IN"/>
              </w:rPr>
              <w:t>Багатозадачність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-здатність концентрувати увагу на виконанні завдання; - уміння розкладати завдання на процеси, спрощувати їх;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-здатність швидко змінювати напрям роботи ( діяльності);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уміння управляти результатом і бачити прогрес</w:t>
            </w:r>
          </w:p>
        </w:tc>
      </w:tr>
      <w:tr>
        <w:trPr/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both"/>
              <w:rPr>
                <w:rFonts w:cs="Times New Roman"/>
                <w:b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Відповідальність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ind w:left="0" w:right="0" w:hanging="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Style27"/>
              <w:snapToGrid w:val="false"/>
              <w:ind w:left="0" w:right="0" w:hanging="0"/>
              <w:jc w:val="both"/>
              <w:rPr>
                <w:rFonts w:cs="Times New Roman"/>
                <w:sz w:val="28"/>
                <w:szCs w:val="28"/>
                <w:lang w:val="uk-UA" w:eastAsia="zh-CN" w:bidi="hi-IN"/>
              </w:rPr>
            </w:pPr>
            <w:r>
              <w:rPr>
                <w:rFonts w:cs="Times New Roman"/>
                <w:sz w:val="28"/>
                <w:szCs w:val="28"/>
                <w:lang w:val="uk-UA" w:eastAsia="zh-CN" w:bidi="hi-IN"/>
              </w:rPr>
              <w:t>- здатність брати на себе зобов’язання, чітко їх дотримуватись і виконувати</w:t>
            </w:r>
          </w:p>
        </w:tc>
      </w:tr>
      <w:tr>
        <w:trPr/>
        <w:tc>
          <w:tcPr>
            <w:tcW w:w="971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Професійні знання</w:t>
            </w:r>
          </w:p>
        </w:tc>
      </w:tr>
      <w:tr>
        <w:trPr/>
        <w:tc>
          <w:tcPr>
            <w:tcW w:w="282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Вимога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Normal"/>
              <w:ind w:left="171" w:right="152" w:hanging="171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Компоненти вимоги</w:t>
            </w:r>
          </w:p>
        </w:tc>
      </w:tr>
      <w:tr>
        <w:trPr/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Style27"/>
              <w:snapToGrid w:val="false"/>
              <w:jc w:val="both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Знання  законодавства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Normal"/>
              <w:widowControl w:val="false"/>
              <w:ind w:left="171" w:right="152" w:hanging="171"/>
              <w:rPr/>
            </w:pP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>Знання:</w:t>
            </w:r>
          </w:p>
          <w:p>
            <w:pPr>
              <w:pStyle w:val="Normal"/>
              <w:widowControl w:val="false"/>
              <w:ind w:left="165" w:right="165" w:hanging="181"/>
              <w:rPr>
                <w:rFonts w:cs="Times New Roman"/>
                <w:sz w:val="28"/>
                <w:szCs w:val="28"/>
                <w:highlight w:val="white"/>
                <w:lang w:val="uk-UA"/>
              </w:rPr>
            </w:pP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>- Конституції України;</w:t>
            </w:r>
          </w:p>
          <w:p>
            <w:pPr>
              <w:pStyle w:val="Normal"/>
              <w:widowControl w:val="false"/>
              <w:ind w:left="165" w:right="165" w:hanging="181"/>
              <w:rPr>
                <w:rFonts w:cs="Times New Roman"/>
                <w:sz w:val="28"/>
                <w:szCs w:val="28"/>
                <w:highlight w:val="white"/>
                <w:lang w:val="uk-UA"/>
              </w:rPr>
            </w:pP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>- Закону України “Про державну службу”;</w:t>
            </w:r>
          </w:p>
          <w:p>
            <w:pPr>
              <w:pStyle w:val="Normal"/>
              <w:widowControl w:val="false"/>
              <w:snapToGrid w:val="false"/>
              <w:ind w:left="165" w:right="165" w:hanging="165"/>
              <w:rPr>
                <w:rFonts w:cs="Times New Roman"/>
                <w:sz w:val="28"/>
                <w:szCs w:val="28"/>
                <w:highlight w:val="white"/>
                <w:lang w:val="uk-UA"/>
              </w:rPr>
            </w:pP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>- Закону України “Про запобігання корупції”.</w:t>
            </w:r>
          </w:p>
        </w:tc>
      </w:tr>
      <w:tr>
        <w:trPr/>
        <w:tc>
          <w:tcPr>
            <w:tcW w:w="5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9" w:type="dxa"/>
              <w:right w:w="55" w:type="dxa"/>
            </w:tcMar>
          </w:tcPr>
          <w:p>
            <w:pPr>
              <w:pStyle w:val="Style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9" w:type="dxa"/>
              <w:right w:w="55" w:type="dxa"/>
            </w:tcMar>
          </w:tcPr>
          <w:p>
            <w:pPr>
              <w:pStyle w:val="Style27"/>
              <w:snapToGrid w:val="false"/>
              <w:jc w:val="both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8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19" w:type="dxa"/>
              <w:right w:w="55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 xml:space="preserve">- Закон України </w:t>
            </w:r>
            <w:r>
              <w:rPr>
                <w:rFonts w:cs="Times New Roman"/>
                <w:sz w:val="28"/>
                <w:szCs w:val="28"/>
                <w:shd w:fill="FFFFFF" w:val="clear"/>
                <w:lang w:val="uk-UA"/>
              </w:rPr>
              <w:t>“</w:t>
            </w: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>Про загальнообов’язкове державне пенсійне страхування”;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 xml:space="preserve">- Закон України </w:t>
            </w:r>
            <w:r>
              <w:rPr>
                <w:rFonts w:cs="Times New Roman"/>
                <w:sz w:val="28"/>
                <w:szCs w:val="28"/>
                <w:shd w:fill="FFFFFF" w:val="clear"/>
                <w:lang w:val="uk-UA"/>
              </w:rPr>
              <w:t>“</w:t>
            </w: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>Про пенсійне забезпечення”;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/>
            </w:pP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 xml:space="preserve">- Закон України </w:t>
            </w:r>
            <w:bookmarkStart w:id="8" w:name="__DdeLink__4680_258888534911"/>
            <w:r>
              <w:rPr>
                <w:rFonts w:cs="Times New Roman"/>
                <w:sz w:val="28"/>
                <w:szCs w:val="28"/>
                <w:shd w:fill="FFFFFF" w:val="clear"/>
                <w:lang w:val="uk-UA"/>
              </w:rPr>
              <w:t>“</w:t>
            </w:r>
            <w:bookmarkEnd w:id="8"/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>Про збір на обов</w:t>
            </w:r>
            <w:r>
              <w:rPr>
                <w:rFonts w:cs="Times New Roman"/>
                <w:sz w:val="28"/>
                <w:szCs w:val="28"/>
                <w:highlight w:val="white"/>
                <w:lang w:val="ru-RU"/>
              </w:rPr>
              <w:t>'</w:t>
            </w:r>
            <w:r>
              <w:rPr>
                <w:rFonts w:cs="Times New Roman"/>
                <w:sz w:val="28"/>
                <w:szCs w:val="28"/>
                <w:highlight w:val="white"/>
                <w:lang w:val="uk-UA"/>
              </w:rPr>
              <w:t>язкове державне пенсійне страхування”.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567" w:header="0" w:top="600" w:footer="0" w:bottom="578" w:gutter="0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576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720"/>
      </w:pPr>
    </w:lvl>
    <w:lvl w:ilvl="3">
      <w:start w:val="1"/>
      <w:pStyle w:val="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0"/>
        <w:szCs w:val="24"/>
        <w:lang w:val="uk-U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uk-UA" w:eastAsia="zh-CN" w:bidi="ar-SA"/>
    </w:rPr>
  </w:style>
  <w:style w:type="paragraph" w:styleId="2">
    <w:name w:val="Heading 2"/>
    <w:basedOn w:val="Normal"/>
    <w:qFormat/>
    <w:pPr>
      <w:keepNext w:val="true"/>
      <w:numPr>
        <w:ilvl w:val="1"/>
        <w:numId w:val="1"/>
      </w:numPr>
      <w:spacing w:lineRule="auto" w:line="276"/>
      <w:jc w:val="center"/>
      <w:outlineLvl w:val="1"/>
    </w:pPr>
    <w:rPr>
      <w:rFonts w:eastAsia="Calibri"/>
      <w:b/>
      <w:sz w:val="28"/>
      <w:szCs w:val="28"/>
      <w:lang w:val="ru-RU"/>
    </w:rPr>
  </w:style>
  <w:style w:type="paragraph" w:styleId="3">
    <w:name w:val="Heading 3"/>
    <w:basedOn w:val="Normal"/>
    <w:qFormat/>
    <w:pPr>
      <w:keepNext w:val="true"/>
      <w:numPr>
        <w:ilvl w:val="2"/>
        <w:numId w:val="1"/>
      </w:numPr>
      <w:jc w:val="right"/>
      <w:outlineLvl w:val="2"/>
    </w:pPr>
    <w:rPr>
      <w:b/>
      <w:sz w:val="28"/>
      <w:szCs w:val="20"/>
    </w:rPr>
  </w:style>
  <w:style w:type="paragraph" w:styleId="4">
    <w:name w:val="Heading 4"/>
    <w:basedOn w:val="Style17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Style11">
    <w:name w:val="Символ нумерации"/>
    <w:qFormat/>
    <w:rPr/>
  </w:style>
  <w:style w:type="character" w:styleId="Style12">
    <w:name w:val="Текст выноски Знак"/>
    <w:basedOn w:val="DefaultParagraphFont"/>
    <w:qFormat/>
    <w:rPr>
      <w:rFonts w:ascii="Tahoma" w:hAnsi="Tahoma" w:eastAsia="Times New Roman" w:cs="Tahoma"/>
      <w:color w:val="000000"/>
      <w:sz w:val="16"/>
      <w:szCs w:val="16"/>
      <w:lang w:bidi="ar-SA"/>
    </w:rPr>
  </w:style>
  <w:style w:type="character" w:styleId="FontStyle15">
    <w:name w:val="Font Style15"/>
    <w:qFormat/>
    <w:rPr>
      <w:rFonts w:ascii="Times New Roman" w:hAnsi="Times New Roman" w:cs="Times New Roman"/>
      <w:sz w:val="24"/>
      <w:szCs w:val="24"/>
    </w:rPr>
  </w:style>
  <w:style w:type="character" w:styleId="Style13">
    <w:name w:val="Гіперпосилання"/>
    <w:rPr>
      <w:color w:val="000080"/>
      <w:u w:val="single"/>
      <w:lang w:val="zxx" w:eastAsia="zxx" w:bidi="zxx"/>
    </w:rPr>
  </w:style>
  <w:style w:type="character" w:styleId="Style14">
    <w:name w:val="Виділення"/>
    <w:qFormat/>
    <w:rPr>
      <w:i/>
      <w:iCs/>
    </w:rPr>
  </w:style>
  <w:style w:type="character" w:styleId="WW">
    <w:name w:val="WW-Гіперпосилання"/>
    <w:qFormat/>
    <w:rPr>
      <w:color w:val="000080"/>
      <w:u w:val="single"/>
      <w:lang w:val="zxx" w:eastAsia="zxx" w:bidi="zxx"/>
    </w:rPr>
  </w:style>
  <w:style w:type="character" w:styleId="WW1">
    <w:name w:val="WW-Виділення"/>
    <w:qFormat/>
    <w:rPr>
      <w:i/>
      <w:iCs/>
    </w:rPr>
  </w:style>
  <w:style w:type="character" w:styleId="Style15">
    <w:name w:val="Маркери списку"/>
    <w:qFormat/>
    <w:rPr>
      <w:rFonts w:ascii="OpenSymbol;Arial Unicode MS" w:hAnsi="OpenSymbol;Arial Unicode MS" w:eastAsia="OpenSymbol;Arial Unicode MS" w:cs="OpenSymbol;Arial Unicode MS"/>
    </w:rPr>
  </w:style>
  <w:style w:type="character" w:styleId="ListLabel1">
    <w:name w:val="ListLabel 1"/>
    <w:qFormat/>
    <w:rPr>
      <w:rFonts w:cs="OpenSymbol;Arial Unicode MS"/>
    </w:rPr>
  </w:style>
  <w:style w:type="character" w:styleId="ListLabel2">
    <w:name w:val="ListLabel 2"/>
    <w:qFormat/>
    <w:rPr>
      <w:rFonts w:cs="OpenSymbol;Arial Unicode MS"/>
    </w:rPr>
  </w:style>
  <w:style w:type="character" w:styleId="ListLabel3">
    <w:name w:val="ListLabel 3"/>
    <w:qFormat/>
    <w:rPr>
      <w:rFonts w:cs="OpenSymbol;Arial Unicode MS"/>
    </w:rPr>
  </w:style>
  <w:style w:type="character" w:styleId="ListLabel4">
    <w:name w:val="ListLabel 4"/>
    <w:qFormat/>
    <w:rPr>
      <w:rFonts w:cs="OpenSymbol;Arial Unicode MS"/>
    </w:rPr>
  </w:style>
  <w:style w:type="character" w:styleId="ListLabel5">
    <w:name w:val="ListLabel 5"/>
    <w:qFormat/>
    <w:rPr>
      <w:rFonts w:cs="OpenSymbol;Arial Unicode MS"/>
    </w:rPr>
  </w:style>
  <w:style w:type="character" w:styleId="ListLabel6">
    <w:name w:val="ListLabel 6"/>
    <w:qFormat/>
    <w:rPr>
      <w:rFonts w:cs="OpenSymbol;Arial Unicode MS"/>
    </w:rPr>
  </w:style>
  <w:style w:type="character" w:styleId="ListLabel7">
    <w:name w:val="ListLabel 7"/>
    <w:qFormat/>
    <w:rPr>
      <w:rFonts w:cs="OpenSymbol;Arial Unicode MS"/>
    </w:rPr>
  </w:style>
  <w:style w:type="character" w:styleId="ListLabel8">
    <w:name w:val="ListLabel 8"/>
    <w:qFormat/>
    <w:rPr>
      <w:rFonts w:cs="OpenSymbol;Arial Unicode MS"/>
    </w:rPr>
  </w:style>
  <w:style w:type="character" w:styleId="ListLabel9">
    <w:name w:val="ListLabel 9"/>
    <w:qFormat/>
    <w:rPr>
      <w:rFonts w:cs="OpenSymbol;Arial Unicode MS"/>
    </w:rPr>
  </w:style>
  <w:style w:type="character" w:styleId="ListLabel10">
    <w:name w:val="ListLabel 10"/>
    <w:qFormat/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1">
    <w:name w:val="ListLabel 11"/>
    <w:qFormat/>
    <w:rPr>
      <w:rFonts w:ascii="Times New Roman" w:hAnsi="Times New Roman" w:cs="Times New Roman"/>
      <w:b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2">
    <w:name w:val="ListLabel 12"/>
    <w:qFormat/>
    <w:rPr>
      <w:b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3">
    <w:name w:val="ListLabel 13"/>
    <w:qFormat/>
    <w:rPr>
      <w:b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4">
    <w:name w:val="ListLabel 14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5">
    <w:name w:val="ListLabel 15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6">
    <w:name w:val="ListLabel 16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7">
    <w:name w:val="ListLabel 17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18">
    <w:name w:val="ListLabel 18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Style16">
    <w:name w:val="Выделение"/>
    <w:qFormat/>
    <w:rPr>
      <w:i/>
      <w:iCs/>
    </w:rPr>
  </w:style>
  <w:style w:type="character" w:styleId="ListLabel19">
    <w:name w:val="ListLabel 19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20">
    <w:name w:val="ListLabel 20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character" w:styleId="ListLabel21">
    <w:name w:val="ListLabel 21"/>
    <w:qFormat/>
    <w:rPr>
      <w:b w:val="false"/>
      <w:bCs w:val="false"/>
      <w:i w:val="false"/>
      <w:caps w:val="false"/>
      <w:smallCaps w:val="false"/>
      <w:strike w:val="false"/>
      <w:dstrike w:val="false"/>
      <w:color w:val="000000"/>
      <w:spacing w:val="0"/>
      <w:sz w:val="28"/>
      <w:u w:val="none"/>
      <w:lang w:val="uk-UA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Покажчик"/>
    <w:basedOn w:val="Normal"/>
    <w:qFormat/>
    <w:pPr>
      <w:suppressLineNumbers/>
    </w:pPr>
    <w:rPr>
      <w:rFonts w:cs="Arial"/>
    </w:rPr>
  </w:style>
  <w:style w:type="paragraph" w:styleId="Style22">
    <w:name w:val="Название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Index1">
    <w:name w:val="index 1"/>
    <w:basedOn w:val="Normal"/>
    <w:qFormat/>
    <w:pPr>
      <w:spacing w:lineRule="atLeast" w:line="240"/>
      <w:ind w:left="0" w:right="-6" w:hanging="0"/>
      <w:jc w:val="center"/>
    </w:pPr>
    <w:rPr>
      <w:b/>
      <w:sz w:val="28"/>
      <w:szCs w:val="20"/>
      <w:lang w:val="ru-RU"/>
    </w:rPr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jc w:val="center"/>
    </w:pPr>
    <w:rPr>
      <w:b/>
      <w:bCs/>
    </w:rPr>
  </w:style>
  <w:style w:type="paragraph" w:styleId="Style26">
    <w:name w:val="Body Text Indent"/>
    <w:basedOn w:val="Normal"/>
    <w:pPr>
      <w:spacing w:before="0" w:after="120"/>
      <w:ind w:left="283" w:right="0" w:hanging="0"/>
    </w:pPr>
    <w:rPr/>
  </w:style>
  <w:style w:type="paragraph" w:styleId="WW2">
    <w:name w:val="WW-Базовый"/>
    <w:qFormat/>
    <w:pPr>
      <w:widowControl w:val="false"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hi-IN" w:bidi="hi-IN"/>
    </w:rPr>
  </w:style>
  <w:style w:type="paragraph" w:styleId="BodyTextIndent3">
    <w:name w:val="Body Text Indent 3"/>
    <w:basedOn w:val="WW2"/>
    <w:qFormat/>
    <w:pPr>
      <w:ind w:left="4678" w:right="0" w:hanging="0"/>
      <w:jc w:val="center"/>
      <w:textAlignment w:val="baseline"/>
    </w:pPr>
    <w:rPr>
      <w:sz w:val="28"/>
      <w:lang w:eastAsia="ru-RU"/>
    </w:rPr>
  </w:style>
  <w:style w:type="paragraph" w:styleId="Style27">
    <w:name w:val="Вміст таблиці"/>
    <w:basedOn w:val="Normal"/>
    <w:qFormat/>
    <w:pPr>
      <w:suppressLineNumbers/>
    </w:pPr>
    <w:rPr/>
  </w:style>
  <w:style w:type="paragraph" w:styleId="Style28">
    <w:name w:val="Заголовок таблиці"/>
    <w:basedOn w:val="Style27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9">
    <w:name w:val="Обычный (веб)"/>
    <w:basedOn w:val="Normal"/>
    <w:qFormat/>
    <w:pPr>
      <w:spacing w:before="280" w:after="280"/>
    </w:pPr>
    <w:rPr>
      <w:sz w:val="24"/>
      <w:szCs w:val="24"/>
      <w:lang w:val="ru-RU"/>
    </w:rPr>
  </w:style>
  <w:style w:type="paragraph" w:styleId="Rvps12">
    <w:name w:val="rvps12"/>
    <w:basedOn w:val="Normal"/>
    <w:qFormat/>
    <w:pPr>
      <w:spacing w:before="280" w:after="280"/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Application>LibreOffice/5.4.4.2$Windows_X86_64 LibreOffice_project/2524958677847fb3bb44820e40380acbe820f960</Application>
  <Pages>4</Pages>
  <Words>861</Words>
  <Characters>5714</Characters>
  <CharactersWithSpaces>6514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2020-10-27T16:50:00Z</dcterms:created>
  <dc:creator>kadr2</dc:creator>
  <dc:description/>
  <dc:language>uk-UA</dc:language>
  <cp:lastModifiedBy/>
  <cp:lastPrinted>2022-01-24T16:19:00Z</cp:lastPrinted>
  <dcterms:modified xsi:type="dcterms:W3CDTF">2022-02-14T16:39:36Z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