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571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>
          <w:trHeight w:val="43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rFonts w:ascii="Times New Roman" w:hAnsi="Times New Roman"/>
                <w:b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</w:r>
          </w:p>
        </w:tc>
      </w:tr>
      <w:tr>
        <w:trPr>
          <w:trHeight w:val="224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5245" w:right="0" w:hanging="0"/>
              <w:jc w:val="left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/>
              <w:ind w:left="5245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Головного управління Пенсійного фонду України у Рівненській області</w:t>
            </w:r>
          </w:p>
          <w:p>
            <w:pPr>
              <w:pStyle w:val="Normal"/>
              <w:widowControl w:val="false"/>
              <w:spacing w:lineRule="auto" w:line="240"/>
              <w:ind w:left="5245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______________Василь ПЕТНЯК</w:t>
            </w:r>
          </w:p>
          <w:p>
            <w:pPr>
              <w:pStyle w:val="Normal"/>
              <w:widowControl w:val="false"/>
              <w:spacing w:lineRule="auto" w:line="240"/>
              <w:ind w:left="5245" w:right="0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” грудня 2025 року</w:t>
            </w:r>
          </w:p>
          <w:p>
            <w:pPr>
              <w:pStyle w:val="Normal"/>
              <w:widowControl w:val="false"/>
              <w:spacing w:lineRule="auto" w:line="240"/>
              <w:ind w:left="5245" w:right="0" w:hanging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УМОВИ</w:t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проведення добору на зайняття вакантної посади</w:t>
      </w:r>
    </w:p>
    <w:p>
      <w:pPr>
        <w:pStyle w:val="Normal"/>
        <w:ind w:left="0" w:right="0" w:hanging="0"/>
        <w:jc w:val="center"/>
        <w:rPr/>
      </w:pPr>
      <w:r>
        <w:rPr>
          <w:rFonts w:ascii="Times New Roman" w:hAnsi="Times New Roman"/>
          <w:b/>
          <w:sz w:val="28"/>
          <w:szCs w:val="28"/>
        </w:rPr>
        <w:t>державної служби категорії “В” -</w:t>
      </w:r>
      <w:r>
        <w:rPr>
          <w:rFonts w:ascii="Times New Roman" w:hAnsi="Times New Roman"/>
          <w:b/>
          <w:bCs/>
          <w:sz w:val="28"/>
          <w:szCs w:val="28"/>
        </w:rPr>
        <w:t xml:space="preserve"> г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eastAsia="ru-RU"/>
        </w:rPr>
        <w:t xml:space="preserve">оловний спеціаліст відділу перевірки правильності розрахунку розміру страхових виплат у зв’язку із тимчасовою втратою працездатності  </w:t>
      </w:r>
      <w:r>
        <w:rPr>
          <w:rFonts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</w:rPr>
        <w:t xml:space="preserve">управління пенсійного забезпечення, надання страхових виплат та соціальних послуг </w:t>
      </w:r>
      <w:r>
        <w:rPr>
          <w:rFonts w:ascii="Times New Roman" w:hAnsi="Times New Roman"/>
          <w:b/>
          <w:bCs/>
          <w:sz w:val="28"/>
          <w:szCs w:val="28"/>
        </w:rPr>
        <w:t xml:space="preserve">–  (робоче місце -  м. Рівне) 1 шт. </w:t>
      </w:r>
      <w:r>
        <w:rPr>
          <w:rFonts w:ascii="Times New Roman" w:hAnsi="Times New Roman"/>
          <w:b/>
          <w:sz w:val="28"/>
          <w:szCs w:val="28"/>
        </w:rPr>
        <w:t>од.</w:t>
      </w:r>
    </w:p>
    <w:tbl>
      <w:tblPr>
        <w:tblW w:w="9465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3" w:type="dxa"/>
          <w:bottom w:w="0" w:type="dxa"/>
          <w:right w:w="108" w:type="dxa"/>
        </w:tblCellMar>
      </w:tblPr>
      <w:tblGrid>
        <w:gridCol w:w="371"/>
        <w:gridCol w:w="328"/>
        <w:gridCol w:w="2651"/>
        <w:gridCol w:w="5"/>
        <w:gridCol w:w="1"/>
        <w:gridCol w:w="6109"/>
      </w:tblGrid>
      <w:tr>
        <w:trPr/>
        <w:tc>
          <w:tcPr>
            <w:tcW w:w="946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Загальні умови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Посадові обов’язки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>
              <w:rPr>
                <w:rFonts w:eastAsia="Calibri;Century Gothic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0"/>
                <w:kern w:val="0"/>
                <w:sz w:val="28"/>
                <w:szCs w:val="28"/>
                <w:lang w:val="uk-UA" w:eastAsia="uk-UA" w:bidi="ar-SA"/>
              </w:rPr>
              <w:t>Своєчасна перевірка правильності розрахунку розміру страхових виплат у зв’язку із тимчасовою втратою працездатності в умовах екстериторіальності та єдиної черги спеціалістів та прийняття відповідного рішення у визначені терміни.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eastAsia="Calibri;Century Gothic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0"/>
                <w:kern w:val="0"/>
                <w:sz w:val="28"/>
                <w:szCs w:val="28"/>
                <w:lang w:val="uk-UA" w:eastAsia="uk-UA" w:bidi="ar-SA"/>
              </w:rPr>
              <w:t>Забезпечення перевірки правильності розрахунку середньоденної заробітної плати, визначеної для нарахування допомоги по тимчасовій непрацездатності та допомоги по вагітності та пологах, з врахуванням норм частини 4 статті 12 Закону України “Про загальнообов’язкове державне соціальне страхування”. Забезпечення перевірки правильності визначення  кількості днів до   оплати з врахуванням причини  непрацездатності та прийняття відповідного рішення.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>
              <w:rPr>
                <w:rFonts w:eastAsia="Calibri;Century Gothic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0"/>
                <w:kern w:val="0"/>
                <w:sz w:val="28"/>
                <w:szCs w:val="28"/>
                <w:lang w:val="uk-UA" w:eastAsia="uk-UA" w:bidi="ar-SA"/>
              </w:rPr>
              <w:t>Надання інформації та відповіді на запити з питань державного соціального страхування у зв’язку із тимчасовою втратою працездатності та з питань застосування норм  законодавства у межах своєї компетенції.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>
              <w:rPr>
                <w:rFonts w:eastAsia="Calibri;Century Gothic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0"/>
                <w:kern w:val="0"/>
                <w:sz w:val="28"/>
                <w:szCs w:val="28"/>
                <w:lang w:val="uk-UA" w:eastAsia="uk-UA" w:bidi="ar-SA"/>
              </w:rPr>
              <w:t>Проведення у встановлені терміни опрацювання інформацій та усунення виявлених порушень у разі надходження рекомендацій Міністерства фінансів України за результатами верифікації страхових виплат у зв'язку із тимчасовою втратою працездатності.   Вжиття заходів щодо усунення виявлених під час нагляду уповноваженими контролюючими органами порушень та  недопущення їх в подальшому.</w:t>
            </w:r>
          </w:p>
          <w:p>
            <w:pPr>
              <w:pStyle w:val="ListParagraph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r>
              <w:rPr>
                <w:rFonts w:eastAsia="Calibri;Century Gothic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0"/>
                <w:kern w:val="0"/>
                <w:sz w:val="28"/>
                <w:szCs w:val="28"/>
                <w:lang w:val="uk-UA" w:eastAsia="uk-UA" w:bidi="ar-SA"/>
              </w:rPr>
              <w:t>Опрацювання звернень “Грошова допомога ПКМУ 765” з типом призначення “Оплата постраждалим ЧАЕС додаткової відпустки", "Доплата особам, які працюють у зоні відчуження", "Оплата різниці між тривалістю щорічної відпустки громадянам, які працюють (перебувають у відрядженні) на території зон радіоактивного забруднення".</w:t>
            </w:r>
          </w:p>
          <w:p>
            <w:pPr>
              <w:pStyle w:val="ListParagraph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  <w:r>
              <w:rPr>
                <w:rFonts w:eastAsia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-3"/>
                <w:kern w:val="2"/>
                <w:sz w:val="28"/>
                <w:szCs w:val="28"/>
                <w:u w:val="none"/>
                <w:em w:val="none"/>
                <w:lang w:val="ru-RU" w:eastAsia="zxx" w:bidi="ar-SA"/>
              </w:rPr>
              <w:t xml:space="preserve">Своєчасне та достовірне опрацювання списків повернень по страхових виплатах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-3"/>
                <w:kern w:val="2"/>
                <w:sz w:val="28"/>
                <w:szCs w:val="28"/>
                <w:u w:val="none"/>
                <w:em w:val="none"/>
                <w:lang w:val="uk-UA" w:eastAsia="zxx" w:bidi="ar-SA"/>
              </w:rPr>
              <w:t xml:space="preserve">у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-3"/>
                <w:kern w:val="2"/>
                <w:sz w:val="28"/>
                <w:szCs w:val="28"/>
                <w:u w:val="none"/>
                <w:em w:val="none"/>
                <w:lang w:val="uk-UA" w:eastAsia="uk-UA" w:bidi="ar-SA"/>
              </w:rPr>
              <w:t>зв’язку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-3"/>
                <w:kern w:val="2"/>
                <w:sz w:val="28"/>
                <w:szCs w:val="28"/>
                <w:u w:val="none"/>
                <w:em w:val="none"/>
                <w:lang w:val="ru-RU" w:eastAsia="uk-UA" w:bidi="ar-SA"/>
              </w:rPr>
              <w:t xml:space="preserve"> із тимчасовою втратою працездатності та по г</w:t>
            </w:r>
            <w:r>
              <w:rPr>
                <w:rFonts w:eastAsia="Calibri;Century Gothic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8"/>
                <w:szCs w:val="28"/>
                <w:u w:val="none"/>
                <w:em w:val="none"/>
                <w:lang w:val="uk-UA" w:eastAsia="uk-UA" w:bidi="ar-SA"/>
              </w:rPr>
              <w:t>рошовій допомозі по ПКМУ 765 з типом призначення “Оплата постраждалим ЧАЕС додаткової відпустки", "Доплата особам, які працюють у зоні відчуження", "Оплата різниці між тривалістю щорічної відпустки громадянам, які працюють (перебувають у відрядженні) на території зон радіоактивного забруднення" .</w:t>
            </w:r>
          </w:p>
          <w:p>
            <w:pPr>
              <w:pStyle w:val="ListParagraph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eastAsia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7.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-3"/>
                <w:kern w:val="2"/>
                <w:sz w:val="28"/>
                <w:szCs w:val="28"/>
                <w:u w:val="none"/>
                <w:em w:val="none"/>
                <w:lang w:val="ru-RU" w:eastAsia="uk-UA" w:bidi="hi-IN"/>
              </w:rPr>
              <w:t xml:space="preserve">Забезпечення контролю за  своєчасністю призначення та правильністю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-3"/>
                <w:kern w:val="2"/>
                <w:sz w:val="28"/>
                <w:szCs w:val="28"/>
                <w:u w:val="none"/>
                <w:em w:val="none"/>
                <w:lang w:val="ru-RU" w:eastAsia="zh-CN" w:bidi="ar-SA"/>
              </w:rPr>
              <w:t>розрахунків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-3"/>
                <w:kern w:val="2"/>
                <w:sz w:val="28"/>
                <w:szCs w:val="28"/>
                <w:u w:val="none"/>
                <w:em w:val="none"/>
                <w:lang w:val="ru-RU" w:eastAsia="uk-UA" w:bidi="hi-IN"/>
              </w:rPr>
              <w:t xml:space="preserve"> м</w:t>
            </w:r>
            <w:bookmarkStart w:id="0" w:name="__DdeLink__145_1565631855"/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8"/>
                <w:szCs w:val="28"/>
                <w:u w:val="none"/>
                <w:em w:val="none"/>
                <w:lang w:val="ru-RU" w:eastAsia="uk-UA" w:bidi="hi-IN"/>
              </w:rPr>
              <w:t>атеріального забезпечення</w:t>
            </w:r>
            <w:bookmarkStart w:id="1" w:name="__DdeLink__200_1565631855"/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8"/>
                <w:szCs w:val="28"/>
                <w:u w:val="none"/>
                <w:em w:val="none"/>
                <w:lang w:val="ru-RU" w:eastAsia="uk-UA" w:bidi="hi-IN"/>
              </w:rPr>
              <w:t xml:space="preserve"> деяким категоріям  застрахованих осіб</w:t>
            </w:r>
            <w:bookmarkEnd w:id="1"/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8"/>
                <w:szCs w:val="28"/>
                <w:u w:val="none"/>
                <w:em w:val="none"/>
                <w:lang w:val="ru-RU" w:eastAsia="uk-UA" w:bidi="hi-IN"/>
              </w:rPr>
              <w:t xml:space="preserve"> згідно постанови правління Фонду соціального страхування України №8 від 24.01.2017 та  постанови правління Фонду соціального страхування України  № 54 </w:t>
            </w:r>
            <w:bookmarkEnd w:id="0"/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8"/>
                <w:szCs w:val="28"/>
                <w:u w:val="none"/>
                <w:em w:val="none"/>
                <w:lang w:val="ru-RU" w:eastAsia="uk-UA" w:bidi="hi-IN"/>
              </w:rPr>
              <w:t>від 10.10.2017.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Умови оплати праці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посадовий оклад згідно з штатним розписом на  2025 рік –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15996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грн, надбавка за вислугу років на державній службі відповідно до п.13 Прикінцевих положень Закону України “Про державний бюджет України на 2025 рік”, доплати, премії та компенсації.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безстроково;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період дії воєнного стану, до дня визначення суб’єктом призначення переможця за результатами конкурсного відбору на цю посаду відповідно до законодавства, але не більше 12 місяців з дня припинення чи скасування воєнного стану.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Перелік інформації, необхідної для участі в конкурсі, та строк їх подання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про участь у доборі на  зайняття посади державної служби;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резюме за формою згідно з додатком 2-1 до Порядку проведення конкурсу на зайняття посад державної служби, затвердженого постановою Кабінету Міністрів України від 25 березня 2016 року №246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паспорта громадянина України з даними про прізвище, ім’я та по батькові, видачу паспорта та місце реєстрації;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копія документів, що підтверджують наявність відповідного ступеня вищої освіти;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трудової книжки;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військово-облікові документи для військовозобов’язаних та призовників.</w:t>
            </w:r>
          </w:p>
          <w:p>
            <w:pPr>
              <w:pStyle w:val="Normal"/>
              <w:widowControl w:val="false"/>
              <w:spacing w:lineRule="auto" w:line="240"/>
              <w:ind w:left="34" w:right="0" w:firstLine="326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Інформація подається особисто до служби управління персоналом Головного управління Пенсійного фонду України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lang w:val="uk-UA" w:eastAsia="en-US" w:bidi="ar-SA"/>
              </w:rPr>
              <w:t>в Рівненській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області (м.Рівне, вул. Олександра Борисенка, 7, каб. №705) 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грудня 2025 року включно.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Додаткові (необов’язкові) документи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27"/>
              <w:widowControl w:val="false"/>
              <w:tabs>
                <w:tab w:val="left" w:pos="397" w:leader="none"/>
              </w:tabs>
              <w:spacing w:before="0" w:after="0"/>
              <w:ind w:left="3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20"/>
              <w:widowControl w:val="false"/>
              <w:spacing w:lineRule="auto" w:line="240" w:before="0" w:after="0"/>
              <w:ind w:left="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Кальній Світлана Миколаївна,</w:t>
            </w:r>
          </w:p>
          <w:p>
            <w:pPr>
              <w:pStyle w:val="Style20"/>
              <w:widowControl w:val="false"/>
              <w:spacing w:lineRule="auto" w:line="240" w:before="0" w:after="0"/>
              <w:ind w:left="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096-398-23-32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6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Кваліфікаційні вимоги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Освіта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вища, не нижче молодшого бакалавра або бакалавра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Досвід роботи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потребує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вільне володіння державною мовою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Володіння іноземною мовою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118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946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Вимоги до компетентності</w:t>
            </w:r>
          </w:p>
        </w:tc>
      </w:tr>
      <w:tr>
        <w:trPr/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753" w:hRule="atLeast"/>
        </w:trPr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Комунікація і взаємодія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Web"/>
              <w:widowControl w:val="false"/>
              <w:tabs>
                <w:tab w:val="left" w:pos="318" w:leader="none"/>
              </w:tabs>
              <w:bidi w:val="0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уміння встановлювати відкриті, шанобливі стосунки, засновані на довірі та взаєморозумінні;</w:t>
            </w:r>
          </w:p>
          <w:p>
            <w:pPr>
              <w:pStyle w:val="NormalWeb"/>
              <w:widowControl w:val="false"/>
              <w:tabs>
                <w:tab w:val="left" w:pos="318" w:leader="none"/>
              </w:tabs>
              <w:bidi w:val="0"/>
              <w:spacing w:before="0" w:after="0"/>
              <w:ind w:left="34" w:right="0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своєчасно виявляти і попереджати потенційно можливу проблемну ситуацію.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Стресостійкість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конструктивного ставлення до зворотного зв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>язку, зокрема критики;</w:t>
            </w:r>
          </w:p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оптимізм.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Доброчесність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дотримуватися правил етичної поведінки, порядності, чесності, справедливості, підзвітності;</w:t>
            </w:r>
          </w:p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усвідомлення обмеження у виявленні переваг, прихильності та/або негативного ставлення до окремих фізичних та юридичних осіб, політичних партій, громадських, релігійних та інших організацій.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Орієнтація на досягнення результату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навички коригування дій з метою підвищення результативності;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зберігати високу працездатність в екстремальних умовах;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визначати цілі, пріоритети.</w:t>
            </w:r>
          </w:p>
        </w:tc>
      </w:tr>
      <w:tr>
        <w:trPr/>
        <w:tc>
          <w:tcPr>
            <w:tcW w:w="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 грамотність</w:t>
            </w:r>
          </w:p>
        </w:tc>
        <w:tc>
          <w:tcPr>
            <w:tcW w:w="6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2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Normal"/>
              <w:widowControl w:val="false"/>
              <w:spacing w:lineRule="auto" w:line="240"/>
              <w:ind w:left="2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spacing w:lineRule="auto" w:line="240"/>
              <w:ind w:left="2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spacing w:lineRule="auto" w:line="240"/>
              <w:ind w:left="2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електронні реєстри, системи електронного документообігу,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spacing w:lineRule="auto" w:line="240"/>
              <w:ind w:left="2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використовувати відкриті цифрові ресурси для власного професійного розвитку.</w:t>
            </w:r>
          </w:p>
        </w:tc>
      </w:tr>
      <w:tr>
        <w:trPr/>
        <w:tc>
          <w:tcPr>
            <w:tcW w:w="946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Професійні знання</w:t>
            </w:r>
          </w:p>
        </w:tc>
      </w:tr>
      <w:tr>
        <w:trPr>
          <w:trHeight w:val="412" w:hRule="atLeast"/>
        </w:trPr>
        <w:tc>
          <w:tcPr>
            <w:tcW w:w="335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1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</w:t>
            </w:r>
          </w:p>
        </w:tc>
        <w:tc>
          <w:tcPr>
            <w:tcW w:w="6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Конституції України;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Закону України “Про державну службу” (зі змінами);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Закону України “Про запобігання корупції” (зі змінами) та іншого законодавства.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widowControl w:val="false"/>
              <w:tabs>
                <w:tab w:val="left" w:pos="0" w:leader="none"/>
              </w:tabs>
              <w:spacing w:lineRule="auto" w:line="240"/>
              <w:ind w:left="283" w:right="0" w:hanging="249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Знання:</w:t>
            </w:r>
          </w:p>
          <w:p>
            <w:pPr>
              <w:pStyle w:val="ListParagraph"/>
              <w:widowControl w:val="false"/>
              <w:tabs>
                <w:tab w:val="left" w:pos="0" w:leader="none"/>
              </w:tabs>
              <w:spacing w:lineRule="auto" w:line="240"/>
              <w:ind w:left="283" w:right="0" w:hanging="249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Положення про Пенсійний фонд України;</w:t>
            </w:r>
          </w:p>
          <w:p>
            <w:pPr>
              <w:pStyle w:val="ListParagraph"/>
              <w:widowControl w:val="false"/>
              <w:spacing w:lineRule="auto" w:line="240"/>
              <w:ind w:left="0" w:right="0" w:firstLine="34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Закону України “Про Державний бюджет на 2025 рік”.</w:t>
            </w:r>
          </w:p>
        </w:tc>
      </w:tr>
      <w:tr>
        <w:trPr>
          <w:trHeight w:val="448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bookmarkStart w:id="2" w:name="_GoBack"/>
            <w:bookmarkEnd w:id="2"/>
            <w:r>
              <w:rPr>
                <w:rFonts w:ascii="Times New Roman" w:hAnsi="Times New Roman"/>
                <w:sz w:val="28"/>
                <w:szCs w:val="28"/>
              </w:rPr>
              <w:t xml:space="preserve">Знання законодавства з питань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управління</w:t>
            </w:r>
            <w:r>
              <w:rPr>
                <w:rFonts w:ascii="Times New Roman" w:hAnsi="Times New Roman"/>
                <w:color w:val="C9211E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w w:val="100"/>
                <w:kern w:val="0"/>
                <w:sz w:val="28"/>
                <w:szCs w:val="28"/>
                <w:u w:val="none"/>
                <w:lang w:val="uk-UA" w:eastAsia="zh-CN" w:bidi="ar-SA"/>
              </w:rPr>
              <w:t>енсійного забезпечення, надання страхових виплат та соціальних послуг</w:t>
            </w:r>
          </w:p>
        </w:tc>
        <w:tc>
          <w:tcPr>
            <w:tcW w:w="6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>Закону України “Про загальнообов’язкове державне соціальне страхування” від 23.09.1999 № 1105;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>Закону України “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Про статус і соціальний захист громадян, які постраждали внаслідок Чорнобильської катастрофи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 xml:space="preserve">” від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/>
              </w:rPr>
              <w:t>28.02.1991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 xml:space="preserve"> №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>796-XII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>Закону України “Про відпустки” (зі змінами);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 xml:space="preserve">Порядку фінансування страхувальників для надання страхових виплат за загальнообов’язковим державним соціальним страхуванням, затвердженого Постановою правління пенсійного фонду України від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/>
              </w:rPr>
              <w:t>19.08.2025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</w:rPr>
              <w:t xml:space="preserve">  №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/>
              </w:rPr>
              <w:t>28-1;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Style w:val="Spanrvts23"/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/>
              </w:rPr>
              <w:t xml:space="preserve">Порядку </w:t>
            </w: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 xml:space="preserve">обчислення середньої заробітної плати (доходу, грошового забезпечення) для розрахунку виплат за загальнообов’язковим державним соціальним страхуванням, затвердженого </w:t>
            </w: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 w:eastAsia="uk-UA"/>
              </w:rPr>
              <w:t>П</w:t>
            </w:r>
            <w:r>
              <w:rPr>
                <w:rStyle w:val="Spanrvts9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>остановою Кабінету Міністрів України</w:t>
            </w:r>
            <w:r>
              <w:rPr>
                <w:rStyle w:val="Spanrvts0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 xml:space="preserve"> </w:t>
              <w:br/>
            </w:r>
            <w:r>
              <w:rPr>
                <w:rStyle w:val="Spanrvts9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>від 26.09.2001 № 1266</w:t>
            </w: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 w:eastAsia="uk-UA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uk-UA"/>
              </w:rPr>
              <w:t>П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орядку видачі (формування) листків непрацездатності в Електронному реєстрі листків непрацездатності, затвердженого Наказом Міністерства охорони здоров’я України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ru-RU"/>
              </w:rPr>
              <w:t xml:space="preserve">17.06.2021  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 № 1234;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Порядку надання матеріального забезпечення за рахунок коштів Фонду соціального страхування України застрахованим особам у разі ліквідації (реорганізації) підприємства, установи, організації, припинення підприємницької діяльності фізичної особи - підприємця або незалежної професійної діяльності, затвердженого Постановою правління Фонду соціального страхування України від 10.10.2017 № 54;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Порядку надання матеріального забезпечення за рахунок коштів Фонду соціального страхування України деяким категоріям застрахованих осіб, затвердженого Постановою правління Фонду соціального страхування України від 24.01.2017 №8;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/>
            </w:pP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uk-UA"/>
              </w:rPr>
              <w:t xml:space="preserve">Порядку використання коштів державного бюджету для виконання програм, пов’язаних із соціальним захистом громадян, які постраждали внаслідок Чорнобильської катастрофи,  </w:t>
            </w: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 xml:space="preserve">затвердженого </w:t>
            </w:r>
            <w:r>
              <w:rPr>
                <w:rStyle w:val="Spanrvts23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ru-RU" w:eastAsia="uk-UA"/>
              </w:rPr>
              <w:t>П</w:t>
            </w:r>
            <w:r>
              <w:rPr>
                <w:rStyle w:val="Spanrvts9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>остановою Кабінету Міністрів України</w:t>
            </w:r>
            <w:r>
              <w:rPr>
                <w:rStyle w:val="Spanrvts0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 xml:space="preserve"> </w:t>
              <w:br/>
            </w:r>
            <w:r>
              <w:rPr>
                <w:rStyle w:val="Spanrvts9"/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8"/>
                <w:szCs w:val="28"/>
                <w:u w:val="none"/>
                <w:em w:val="none"/>
                <w:lang w:val="uk-UA" w:eastAsia="uk-UA"/>
              </w:rPr>
              <w:t>від 20.09.2005 № 936.</w:t>
            </w:r>
          </w:p>
        </w:tc>
      </w:tr>
    </w:tbl>
    <w:p>
      <w:pPr>
        <w:pStyle w:val="Normal"/>
        <w:pBdr>
          <w:bottom w:val="single" w:sz="12" w:space="1" w:color="000001"/>
        </w:pBdr>
        <w:tabs>
          <w:tab w:val="left" w:pos="1545" w:leader="none"/>
        </w:tabs>
        <w:spacing w:lineRule="auto" w:line="240"/>
        <w:ind w:left="0" w:right="0" w:hanging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566" w:header="708" w:top="765" w:footer="0" w:bottom="709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left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  <w:p>
    <w:pPr>
      <w:pStyle w:val="Style3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0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0"/>
      <w:ind w:left="0" w:right="0" w:firstLine="4536"/>
      <w:jc w:val="right"/>
    </w:pPr>
    <w:rPr>
      <w:rFonts w:ascii="Calibri" w:hAnsi="Calibri" w:eastAsia="Calibri" w:cs="Times New Roman"/>
      <w:color w:val="00000A"/>
      <w:kern w:val="0"/>
      <w:sz w:val="22"/>
      <w:szCs w:val="22"/>
      <w:lang w:val="uk-UA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текст Знак"/>
    <w:qFormat/>
    <w:rPr>
      <w:rFonts w:ascii="Times New Roman" w:hAnsi="Times New Roman" w:cs="Times New Roman"/>
      <w:sz w:val="20"/>
      <w:szCs w:val="20"/>
      <w:lang w:val="uk-UA"/>
    </w:rPr>
  </w:style>
  <w:style w:type="character" w:styleId="Appleconvertedspace">
    <w:name w:val="apple-converted-space"/>
    <w:qFormat/>
    <w:rPr/>
  </w:style>
  <w:style w:type="character" w:styleId="Style15">
    <w:name w:val="Основной текст с отступом Знак"/>
    <w:qFormat/>
    <w:rPr>
      <w:rFonts w:cs="Times New Roman"/>
      <w:lang w:val="uk-UA"/>
    </w:rPr>
  </w:style>
  <w:style w:type="character" w:styleId="Style16">
    <w:name w:val="Текст выноски Знак"/>
    <w:qFormat/>
    <w:rPr>
      <w:rFonts w:ascii="Tahoma" w:hAnsi="Tahoma" w:cs="Tahoma"/>
      <w:sz w:val="16"/>
      <w:szCs w:val="16"/>
      <w:lang w:val="uk-UA"/>
    </w:rPr>
  </w:style>
  <w:style w:type="character" w:styleId="3">
    <w:name w:val="Основной текст с отступом 3 Знак"/>
    <w:qFormat/>
    <w:rPr>
      <w:rFonts w:ascii="Times New Roman" w:hAnsi="Times New Roman" w:cs="Times New Roman"/>
      <w:sz w:val="16"/>
      <w:szCs w:val="16"/>
      <w:lang w:val="uk-UA" w:eastAsia="uk-UA"/>
    </w:rPr>
  </w:style>
  <w:style w:type="character" w:styleId="2">
    <w:name w:val="Основной текст 2 Знак"/>
    <w:qFormat/>
    <w:rPr>
      <w:rFonts w:ascii="Times New Roman" w:hAnsi="Times New Roman" w:cs="Times New Roman"/>
      <w:sz w:val="24"/>
      <w:szCs w:val="24"/>
      <w:lang w:eastAsia="ru-RU"/>
    </w:rPr>
  </w:style>
  <w:style w:type="character" w:styleId="4">
    <w:name w:val="Основной текст (4) + Не курсив"/>
    <w:qFormat/>
    <w:rPr>
      <w:rFonts w:ascii="Times New Roman" w:hAnsi="Times New Roman" w:cs="Times New Roman"/>
      <w:i/>
      <w:iCs/>
      <w:spacing w:val="4"/>
      <w:u w:val="none"/>
    </w:rPr>
  </w:style>
  <w:style w:type="character" w:styleId="Pagenumber">
    <w:name w:val="page number"/>
    <w:basedOn w:val="DefaultParagraphFont"/>
    <w:qFormat/>
    <w:rPr/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FontStyle18">
    <w:name w:val="Font Style18"/>
    <w:qFormat/>
    <w:rPr>
      <w:rFonts w:ascii="Times New Roman" w:hAnsi="Times New Roman" w:cs="Times New Roman"/>
      <w:sz w:val="26"/>
      <w:szCs w:val="26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FontStyle21">
    <w:name w:val="Font Style21"/>
    <w:qFormat/>
    <w:rPr>
      <w:rFonts w:ascii="Times New Roman" w:hAnsi="Times New Roman" w:cs="Times New Roman"/>
      <w:sz w:val="26"/>
      <w:szCs w:val="26"/>
    </w:rPr>
  </w:style>
  <w:style w:type="character" w:styleId="Csd2c743de">
    <w:name w:val="csd2c743de"/>
    <w:basedOn w:val="DefaultParagraphFont"/>
    <w:qFormat/>
    <w:rPr/>
  </w:style>
  <w:style w:type="character" w:styleId="Style17">
    <w:name w:val="Верхний колонтитул Знак"/>
    <w:basedOn w:val="DefaultParagraphFont"/>
    <w:qFormat/>
    <w:rPr>
      <w:sz w:val="22"/>
      <w:szCs w:val="22"/>
      <w:lang w:val="uk-UA"/>
    </w:rPr>
  </w:style>
  <w:style w:type="character" w:styleId="Style18">
    <w:name w:val="Нижний колонтитул Знак"/>
    <w:basedOn w:val="DefaultParagraphFont"/>
    <w:qFormat/>
    <w:rPr>
      <w:sz w:val="22"/>
      <w:szCs w:val="22"/>
      <w:lang w:val="uk-UA"/>
    </w:rPr>
  </w:style>
  <w:style w:type="character" w:styleId="Spanrvts23">
    <w:name w:val="span_rvts23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sz w:val="32"/>
      <w:szCs w:val="32"/>
    </w:rPr>
  </w:style>
  <w:style w:type="character" w:styleId="Spanrvts9">
    <w:name w:val="span_rvts9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sz w:val="24"/>
      <w:szCs w:val="24"/>
    </w:rPr>
  </w:style>
  <w:style w:type="character" w:styleId="Spanrvts0">
    <w:name w:val="span_rvts0"/>
    <w:basedOn w:val="DefaultParagraphFont"/>
    <w:qFormat/>
    <w:rPr>
      <w:rFonts w:ascii="Times New Roman" w:hAnsi="Times New Roman"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">
    <w:name w:val="ListLabel 1"/>
    <w:qFormat/>
    <w:rPr>
      <w:rFonts w:ascii="Times New Roman" w:hAnsi="Times New Roman" w:cs="Times New Roman"/>
      <w:sz w:val="28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ascii="Times New Roman" w:hAnsi="Times New Roman" w:cs="Times New Roman"/>
      <w:sz w:val="28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ascii="Times New Roman" w:hAnsi="Times New Roman" w:cs="Times New Roman"/>
      <w:sz w:val="28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ascii="Times New Roman" w:hAnsi="Times New Roman" w:cs="Times New Roman"/>
      <w:sz w:val="28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ascii="Times New Roman" w:hAnsi="Times New Roman" w:cs="Times New Roman"/>
      <w:sz w:val="28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ascii="Times New Roman" w:hAnsi="Times New Roman" w:cs="Times New Roman"/>
      <w:sz w:val="28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pPr>
      <w:spacing w:lineRule="auto" w:line="240"/>
      <w:ind w:left="0" w:right="0" w:hanging="0"/>
      <w:jc w:val="center"/>
    </w:pPr>
    <w:rPr>
      <w:rFonts w:ascii="Times New Roman" w:hAnsi="Times New Roman" w:eastAsia="Times New Roman"/>
      <w:sz w:val="28"/>
      <w:szCs w:val="20"/>
    </w:rPr>
  </w:style>
  <w:style w:type="paragraph" w:styleId="Style21">
    <w:name w:val="List"/>
    <w:basedOn w:val="Style20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Lucida Sans"/>
    </w:rPr>
  </w:style>
  <w:style w:type="paragraph" w:styleId="Style24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qFormat/>
    <w:pPr>
      <w:spacing w:before="0" w:after="0"/>
      <w:ind w:left="720" w:right="0" w:firstLine="4536"/>
      <w:contextualSpacing/>
    </w:pPr>
    <w:rPr/>
  </w:style>
  <w:style w:type="paragraph" w:styleId="Style25">
    <w:name w:val="Body Text Indent"/>
    <w:basedOn w:val="Normal"/>
    <w:pPr>
      <w:spacing w:before="0" w:after="120"/>
      <w:ind w:left="283" w:right="0" w:firstLine="4536"/>
    </w:pPr>
    <w:rPr/>
  </w:style>
  <w:style w:type="paragraph" w:styleId="BalloonText">
    <w:name w:val="Balloon Text"/>
    <w:basedOn w:val="Normal"/>
    <w:qFormat/>
    <w:pPr>
      <w:spacing w:lineRule="auto" w:line="240"/>
    </w:pPr>
    <w:rPr>
      <w:rFonts w:ascii="Tahoma" w:hAnsi="Tahoma" w:cs="Tahoma"/>
      <w:sz w:val="16"/>
      <w:szCs w:val="16"/>
    </w:rPr>
  </w:style>
  <w:style w:type="paragraph" w:styleId="Style26">
    <w:name w:val="Вміст таблиці"/>
    <w:basedOn w:val="Normal"/>
    <w:qFormat/>
    <w:pPr>
      <w:widowControl w:val="false"/>
      <w:suppressLineNumbers/>
      <w:spacing w:lineRule="auto" w:line="240"/>
      <w:ind w:left="0" w:right="0" w:hanging="0"/>
      <w:jc w:val="left"/>
    </w:pPr>
    <w:rPr>
      <w:rFonts w:ascii="Times New Roman" w:hAnsi="Times New Roman" w:cs="Arial Unicode MS"/>
      <w:kern w:val="2"/>
      <w:sz w:val="24"/>
      <w:szCs w:val="24"/>
      <w:lang w:eastAsia="hi-IN" w:bidi="hi-IN"/>
    </w:rPr>
  </w:style>
  <w:style w:type="paragraph" w:styleId="Rvps12">
    <w:name w:val="rvps12"/>
    <w:basedOn w:val="Normal"/>
    <w:qFormat/>
    <w:pPr>
      <w:spacing w:lineRule="auto" w:line="240" w:before="280" w:after="280"/>
      <w:ind w:left="0" w:right="0"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qFormat/>
    <w:pPr>
      <w:spacing w:lineRule="auto" w:line="240" w:before="0" w:after="120"/>
      <w:ind w:left="283" w:right="0" w:hanging="0"/>
      <w:jc w:val="left"/>
    </w:pPr>
    <w:rPr>
      <w:rFonts w:ascii="Times New Roman" w:hAnsi="Times New Roman" w:eastAsia="Times New Roman"/>
      <w:sz w:val="16"/>
      <w:szCs w:val="16"/>
      <w:lang w:eastAsia="uk-UA"/>
    </w:rPr>
  </w:style>
  <w:style w:type="paragraph" w:styleId="BodyText2">
    <w:name w:val="Body Text 2"/>
    <w:basedOn w:val="Normal"/>
    <w:qFormat/>
    <w:pPr>
      <w:spacing w:lineRule="auto" w:line="480" w:before="0" w:after="120"/>
      <w:ind w:left="0" w:right="0"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NormalWeb">
    <w:name w:val="Normal (Web)"/>
    <w:basedOn w:val="Normal"/>
    <w:qFormat/>
    <w:pPr>
      <w:spacing w:lineRule="auto" w:line="240" w:before="280" w:after="280"/>
      <w:ind w:left="0" w:right="0"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7">
    <w:name w:val="Нормальний текст"/>
    <w:basedOn w:val="Normal"/>
    <w:qFormat/>
    <w:pPr>
      <w:spacing w:lineRule="auto" w:line="240" w:before="120" w:after="0"/>
      <w:ind w:left="0" w:right="0" w:firstLine="567"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uk-UA" w:bidi="ar-SA"/>
    </w:rPr>
  </w:style>
  <w:style w:type="paragraph" w:styleId="Csd270a141">
    <w:name w:val="csd270a141"/>
    <w:basedOn w:val="Normal"/>
    <w:qFormat/>
    <w:pPr>
      <w:spacing w:lineRule="auto" w:line="240" w:before="280" w:after="280"/>
      <w:ind w:left="0" w:right="0"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8">
    <w:name w:val="Верхній і нижній колонтитули"/>
    <w:basedOn w:val="Normal"/>
    <w:qFormat/>
    <w:pPr/>
    <w:rPr/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31">
    <w:name w:val="Footer"/>
    <w:basedOn w:val="Normal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32">
    <w:name w:val="Заголовок таблиці"/>
    <w:basedOn w:val="Style26"/>
    <w:qFormat/>
    <w:pPr>
      <w:jc w:val="center"/>
    </w:pPr>
    <w:rPr>
      <w:b/>
      <w:bCs/>
    </w:rPr>
  </w:style>
  <w:style w:type="paragraph" w:styleId="21">
    <w:name w:val="Основной текст (2)"/>
    <w:basedOn w:val="Normal"/>
    <w:qFormat/>
    <w:pPr>
      <w:widowControl w:val="false"/>
      <w:shd w:val="clear" w:fill="FFFFFF"/>
      <w:spacing w:lineRule="exact" w:line="312" w:before="240" w:after="0"/>
      <w:ind w:left="0" w:right="0" w:hanging="0"/>
    </w:pPr>
    <w:rPr>
      <w:rFonts w:ascii="Calibri" w:hAnsi="Calibri" w:eastAsia="Calibri" w:cs="Times New Roman"/>
      <w:sz w:val="26"/>
      <w:szCs w:val="26"/>
      <w:lang w:eastAsia="en-U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7383</TotalTime>
  <Application>LibreOffice/5.4.4.2$Windows_X86_64 LibreOffice_project/2524958677847fb3bb44820e40380acbe820f960</Application>
  <Pages>6</Pages>
  <Words>1072</Words>
  <Characters>7605</Characters>
  <CharactersWithSpaces>8595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2016-06-09T12:24:00Z</dcterms:created>
  <dc:creator>kstl_lv</dc:creator>
  <dc:description/>
  <dc:language>uk-UA</dc:language>
  <cp:lastModifiedBy/>
  <cp:lastPrinted>2025-11-07T13:46:00Z</cp:lastPrinted>
  <dcterms:modified xsi:type="dcterms:W3CDTF">2025-12-08T11:04:43Z</dcterms:modified>
  <cp:revision>407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