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9571" w:type="dxa"/>
        <w:jc w:val="left"/>
        <w:tblInd w:w="108" w:type="dxa"/>
        <w:tblBorders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9571"/>
      </w:tblGrid>
      <w:tr>
        <w:trPr>
          <w:trHeight w:val="2240" w:hRule="atLeast"/>
        </w:trPr>
        <w:tc>
          <w:tcPr>
            <w:tcW w:w="9571" w:type="dxa"/>
            <w:tcBorders/>
            <w:shd w:fill="auto" w:val="clear"/>
          </w:tcPr>
          <w:p>
            <w:pPr>
              <w:pStyle w:val="Normal"/>
              <w:widowControl w:val="false"/>
              <w:spacing w:lineRule="auto" w:line="240"/>
              <w:ind w:left="5245" w:hanging="0"/>
              <w:jc w:val="left"/>
              <w:rPr>
                <w:rFonts w:ascii="Times New Roman" w:hAnsi="Times New Roman"/>
                <w:b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ЗАТВЕРДЖЕНО</w:t>
            </w:r>
          </w:p>
          <w:p>
            <w:pPr>
              <w:pStyle w:val="Normal"/>
              <w:widowControl w:val="false"/>
              <w:spacing w:lineRule="auto" w:line="240"/>
              <w:ind w:left="5245" w:hanging="0"/>
              <w:jc w:val="left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Начальник Головного управління Пенсійного фонду України у Рівненській області</w:t>
            </w:r>
          </w:p>
          <w:p>
            <w:pPr>
              <w:pStyle w:val="Normal"/>
              <w:widowControl w:val="false"/>
              <w:spacing w:lineRule="auto" w:line="240"/>
              <w:ind w:left="5245" w:hanging="0"/>
              <w:jc w:val="left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______________Василь ПЕТНЯК</w:t>
            </w:r>
          </w:p>
          <w:p>
            <w:pPr>
              <w:pStyle w:val="Normal"/>
              <w:widowControl w:val="false"/>
              <w:spacing w:lineRule="auto" w:line="240"/>
              <w:ind w:left="5245" w:hanging="0"/>
              <w:jc w:val="left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“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08” грудня </w:t>
            </w:r>
            <w:r>
              <w:rPr>
                <w:rFonts w:ascii="Times New Roman" w:hAnsi="Times New Roman"/>
                <w:sz w:val="28"/>
                <w:szCs w:val="28"/>
              </w:rPr>
              <w:t>2025 року</w:t>
            </w:r>
          </w:p>
          <w:p>
            <w:pPr>
              <w:pStyle w:val="Normal"/>
              <w:widowControl w:val="false"/>
              <w:spacing w:lineRule="auto" w:line="240"/>
              <w:ind w:left="5245" w:hanging="0"/>
              <w:jc w:val="left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40"/>
        <w:ind w:hanging="0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УМОВИ</w:t>
      </w:r>
    </w:p>
    <w:p>
      <w:pPr>
        <w:pStyle w:val="Normal"/>
        <w:spacing w:lineRule="auto" w:line="240"/>
        <w:ind w:hanging="0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highlight w:val="white"/>
        </w:rPr>
        <w:t>проведення добору на зайняття вакантної посади</w:t>
      </w:r>
    </w:p>
    <w:p>
      <w:pPr>
        <w:pStyle w:val="Normal"/>
        <w:ind w:hanging="0"/>
        <w:jc w:val="center"/>
        <w:rPr/>
      </w:pPr>
      <w:r>
        <w:rPr>
          <w:rFonts w:ascii="Times New Roman" w:hAnsi="Times New Roman"/>
          <w:b/>
          <w:sz w:val="28"/>
          <w:szCs w:val="28"/>
          <w:highlight w:val="white"/>
        </w:rPr>
        <w:t xml:space="preserve">державної служби категорії “В” - головного спеціаліста </w:t>
      </w:r>
    </w:p>
    <w:p>
      <w:pPr>
        <w:pStyle w:val="Style20"/>
        <w:rPr>
          <w:highlight w:val="white"/>
        </w:rPr>
      </w:pPr>
      <w:r>
        <w:rPr>
          <w:rFonts w:eastAsia="Times New Roman"/>
          <w:b/>
          <w:color w:val="000000" w:themeColor="text1"/>
          <w:sz w:val="28"/>
          <w:szCs w:val="28"/>
          <w:highlight w:val="white"/>
          <w:lang w:val="uk-UA" w:eastAsia="ru-RU"/>
        </w:rPr>
        <w:t>в</w:t>
      </w:r>
      <w:r>
        <w:rPr>
          <w:rFonts w:eastAsia="Times New Roman"/>
          <w:b/>
          <w:color w:val="000000" w:themeColor="text1"/>
          <w:sz w:val="28"/>
          <w:szCs w:val="28"/>
          <w:highlight w:val="white"/>
          <w:lang w:eastAsia="ru-RU"/>
        </w:rPr>
        <w:t xml:space="preserve">ідділу контролю за правильністю призначення пенсій </w:t>
      </w:r>
      <w:r>
        <w:rPr>
          <w:b/>
          <w:sz w:val="28"/>
          <w:szCs w:val="28"/>
          <w:highlight w:val="white"/>
        </w:rPr>
        <w:t>Управління пенсійного забезпечення, надання страхових виплат та соціальних послуг –  1 шт. од.</w:t>
      </w:r>
    </w:p>
    <w:p>
      <w:pPr>
        <w:pStyle w:val="Style20"/>
        <w:rPr>
          <w:rFonts w:ascii="Times New Roman" w:hAnsi="Times New Roman"/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tbl>
      <w:tblPr>
        <w:tblW w:w="9635" w:type="dxa"/>
        <w:jc w:val="left"/>
        <w:tblInd w:w="98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78" w:type="dxa"/>
          <w:bottom w:w="0" w:type="dxa"/>
          <w:right w:w="108" w:type="dxa"/>
        </w:tblCellMar>
        <w:tblLook w:val="00a0"/>
      </w:tblPr>
      <w:tblGrid>
        <w:gridCol w:w="379"/>
        <w:gridCol w:w="251"/>
        <w:gridCol w:w="2728"/>
        <w:gridCol w:w="1"/>
        <w:gridCol w:w="6276"/>
      </w:tblGrid>
      <w:tr>
        <w:trPr/>
        <w:tc>
          <w:tcPr>
            <w:tcW w:w="9635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Загальні умови</w:t>
            </w:r>
          </w:p>
        </w:tc>
      </w:tr>
      <w:tr>
        <w:trPr/>
        <w:tc>
          <w:tcPr>
            <w:tcW w:w="3358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Посадові обов’язки</w:t>
            </w:r>
          </w:p>
        </w:tc>
        <w:tc>
          <w:tcPr>
            <w:tcW w:w="62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Style31"/>
              <w:widowControl w:val="false"/>
              <w:spacing w:lineRule="auto" w:line="240" w:before="0" w:after="0"/>
              <w:ind w:hanging="0"/>
              <w:jc w:val="both"/>
              <w:textAlignment w:val="auto"/>
              <w:rPr>
                <w:rFonts w:ascii="Times New Roman" w:hAnsi="Times New Roman"/>
                <w:color w:val="00000A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A"/>
                <w:sz w:val="28"/>
                <w:szCs w:val="28"/>
                <w:lang w:val="uk-UA"/>
              </w:rPr>
              <w:t>1. Проведення перевірки електронних пенсійних справ на відповідність чинному законодавству прийнятого рішення про призначення (відмову) в призначенні пенсій, в тому числі за міжнародними угодами, щомісячного довічного грошового утримання суддів у відставці.</w:t>
            </w:r>
          </w:p>
          <w:p>
            <w:pPr>
              <w:pStyle w:val="Style31"/>
              <w:widowControl w:val="false"/>
              <w:spacing w:lineRule="auto" w:line="240" w:before="0" w:after="0"/>
              <w:ind w:hanging="0"/>
              <w:jc w:val="both"/>
              <w:textAlignment w:val="auto"/>
              <w:rPr>
                <w:rFonts w:ascii="Times New Roman" w:hAnsi="Times New Roman"/>
                <w:color w:val="00000A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A"/>
                <w:sz w:val="28"/>
                <w:szCs w:val="28"/>
                <w:lang w:val="uk-UA"/>
              </w:rPr>
              <w:t>2. Здійснення перевірки  правильності  виконання судових рішень, постанови про відкриття виконавчого провадження з питань, що належать до компетенції відділу.</w:t>
            </w:r>
          </w:p>
          <w:p>
            <w:pPr>
              <w:pStyle w:val="Style31"/>
              <w:widowControl w:val="false"/>
              <w:spacing w:lineRule="auto" w:line="240" w:before="0" w:after="0"/>
              <w:ind w:hanging="0"/>
              <w:jc w:val="both"/>
              <w:textAlignment w:val="auto"/>
              <w:rPr>
                <w:rFonts w:ascii="Times New Roman" w:hAnsi="Times New Roman"/>
                <w:color w:val="00000A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A"/>
                <w:sz w:val="28"/>
                <w:szCs w:val="28"/>
                <w:lang w:val="uk-UA"/>
              </w:rPr>
              <w:t xml:space="preserve">3. Забезпечення проведення перевірок обґрунтованості видачі документів, наданих для призначення пенсій відповідно до чинного законодавства.  </w:t>
            </w:r>
          </w:p>
          <w:p>
            <w:pPr>
              <w:pStyle w:val="Style31"/>
              <w:widowControl w:val="false"/>
              <w:spacing w:lineRule="auto" w:line="240" w:before="0" w:after="0"/>
              <w:ind w:hanging="0"/>
              <w:jc w:val="both"/>
              <w:textAlignment w:val="auto"/>
              <w:rPr>
                <w:rFonts w:ascii="Times New Roman" w:hAnsi="Times New Roman"/>
                <w:color w:val="00000A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A"/>
                <w:sz w:val="28"/>
                <w:szCs w:val="28"/>
                <w:lang w:val="uk-UA"/>
              </w:rPr>
              <w:t xml:space="preserve">4. </w:t>
            </w:r>
            <w:r>
              <w:rPr>
                <w:rFonts w:ascii="Times New Roman" w:hAnsi="Times New Roman"/>
                <w:b w:val="false"/>
                <w:bCs w:val="false"/>
                <w:color w:val="00000A"/>
                <w:sz w:val="28"/>
                <w:szCs w:val="28"/>
                <w:u w:val="none"/>
                <w:lang w:val="uk-UA"/>
              </w:rPr>
              <w:t>Забезпечення додержання вимог законодавства України про державну службу та з питань запобігання корупції, правил етичної поведінки державних службовців, виконавської дисципліни, порядку ведення діловодства, правил внутрішнього службового розпорядку, вимог нормативно-правових актів з охорони праці та пожежної безпеки.</w:t>
            </w:r>
          </w:p>
          <w:p>
            <w:pPr>
              <w:pStyle w:val="Style31"/>
              <w:widowControl w:val="false"/>
              <w:spacing w:lineRule="auto" w:line="240" w:before="0" w:after="0"/>
              <w:ind w:hanging="0"/>
              <w:jc w:val="both"/>
              <w:textAlignment w:val="auto"/>
              <w:rPr>
                <w:rFonts w:ascii="Times New Roman" w:hAnsi="Times New Roman"/>
                <w:color w:val="00000A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A"/>
                <w:sz w:val="28"/>
                <w:szCs w:val="28"/>
                <w:u w:val="none"/>
                <w:lang w:val="uk-UA"/>
              </w:rPr>
              <w:t>5. Здійснення інших функцій, визначених законами України, з питань, віднесених до компетенції управління.</w:t>
            </w:r>
          </w:p>
        </w:tc>
      </w:tr>
      <w:tr>
        <w:trPr/>
        <w:tc>
          <w:tcPr>
            <w:tcW w:w="3358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Умови оплати праці</w:t>
            </w:r>
          </w:p>
        </w:tc>
        <w:tc>
          <w:tcPr>
            <w:tcW w:w="62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40" w:before="0" w:after="0"/>
              <w:ind w:hanging="0"/>
              <w:jc w:val="both"/>
              <w:textAlignment w:val="auto"/>
              <w:rPr/>
            </w:pPr>
            <w:r>
              <w:rPr>
                <w:rFonts w:ascii="Times New Roman" w:hAnsi="Times New Roman"/>
                <w:color w:val="00000A"/>
                <w:sz w:val="28"/>
                <w:szCs w:val="28"/>
                <w:lang w:val="uk-UA" w:eastAsia="ru-RU"/>
              </w:rPr>
              <w:t>посадовий оклад згідно з штатним розписом на  2025 рік – 1</w:t>
            </w:r>
            <w:r>
              <w:rPr>
                <w:rFonts w:ascii="Times New Roman" w:hAnsi="Times New Roman"/>
                <w:color w:val="00000A"/>
                <w:sz w:val="28"/>
                <w:szCs w:val="28"/>
                <w:lang w:val="uk-UA" w:eastAsia="ru-RU"/>
              </w:rPr>
              <w:t>5996</w:t>
            </w:r>
            <w:r>
              <w:rPr>
                <w:rFonts w:ascii="Times New Roman" w:hAnsi="Times New Roman"/>
                <w:color w:val="00000A"/>
                <w:sz w:val="28"/>
                <w:szCs w:val="28"/>
                <w:lang w:val="uk-UA" w:eastAsia="ru-RU"/>
              </w:rPr>
              <w:t xml:space="preserve"> грн, надбавка за вислугу років на державній службі відповідно до п.13 Прикінцевих положень Закону України “Про державний бюджет України на 2025 рік”, доплати, премії та компенсації.</w:t>
            </w:r>
          </w:p>
        </w:tc>
      </w:tr>
      <w:tr>
        <w:trPr/>
        <w:tc>
          <w:tcPr>
            <w:tcW w:w="3358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Інформація про строковість чи безстроковість призначення на посаду</w:t>
            </w:r>
          </w:p>
        </w:tc>
        <w:tc>
          <w:tcPr>
            <w:tcW w:w="62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безстроково;</w:t>
            </w:r>
          </w:p>
          <w:p>
            <w:pPr>
              <w:pStyle w:val="Normal"/>
              <w:widowControl w:val="false"/>
              <w:spacing w:lineRule="auto" w:line="240"/>
              <w:ind w:hanging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на період дії воєнного стану, до дня визначення суб’єктом призначення переможця за результатами конкурсного відбору на цю посаду відповідно до законодавства, але не більше 12 місяців з дня припинення чи скасування воєнного стану.</w:t>
            </w:r>
          </w:p>
        </w:tc>
      </w:tr>
      <w:tr>
        <w:trPr/>
        <w:tc>
          <w:tcPr>
            <w:tcW w:w="3358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Перелік інформації, необхідної для участі в конкурсі, та строк їх подання</w:t>
            </w:r>
          </w:p>
        </w:tc>
        <w:tc>
          <w:tcPr>
            <w:tcW w:w="62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40"/>
              <w:ind w:left="34" w:hanging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заява про участь у доборі на  зайняття посади державної служби;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40"/>
              <w:ind w:left="34" w:hanging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резюме за формою згідно з додатком 2-1 до Порядку проведення конкурсу на зайняття посад державної служби, затвердженого постановою Кабінету Міністрів України від 25 березня 2016 року №246 (зі змінами);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spacing w:lineRule="auto" w:line="240"/>
              <w:ind w:left="34" w:hanging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копія паспорта громадянина України з даними про прізвище, ім’я та по батькові, видачу паспорта та місце реєстрації;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spacing w:lineRule="auto" w:line="240"/>
              <w:ind w:left="34" w:hanging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копія документів, що підтверджують наявність відповідного ступеня вищої освіти;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spacing w:lineRule="auto" w:line="240"/>
              <w:ind w:left="34" w:hanging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копія трудової книжки;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spacing w:lineRule="auto" w:line="240"/>
              <w:ind w:left="34" w:hanging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військово-облікові документи для військовозобов’язаних та призовників.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/>
              <w:ind w:left="34" w:firstLine="326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 xml:space="preserve">Інформація подається особисто до служби управління персоналом Головного управління Пенсійного фонду України </w:t>
            </w:r>
            <w:r>
              <w:rPr>
                <w:rFonts w:eastAsia="Calibri" w:cs="Times New Roman" w:ascii="Times New Roman" w:hAnsi="Times New Roman"/>
                <w:color w:val="00000A"/>
                <w:kern w:val="0"/>
                <w:sz w:val="28"/>
                <w:szCs w:val="28"/>
                <w:lang w:val="uk-UA" w:eastAsia="en-US" w:bidi="ar-SA"/>
              </w:rPr>
              <w:t>в Рівненській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області (м.Рівне, вул. Олександра Борисенка, 7, каб. №705) по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18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грудня 2025 року включно.</w:t>
            </w:r>
          </w:p>
        </w:tc>
      </w:tr>
      <w:tr>
        <w:trPr/>
        <w:tc>
          <w:tcPr>
            <w:tcW w:w="3358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pacing w:lineRule="auto" w:line="240"/>
              <w:ind w:hanging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Додаткові (необов’язкові) документи</w:t>
            </w:r>
          </w:p>
        </w:tc>
        <w:tc>
          <w:tcPr>
            <w:tcW w:w="62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Style26"/>
              <w:widowControl w:val="false"/>
              <w:tabs>
                <w:tab w:val="left" w:pos="397" w:leader="none"/>
              </w:tabs>
              <w:spacing w:lineRule="auto" w:line="240" w:before="0" w:after="0"/>
              <w:ind w:left="37" w:hanging="0"/>
              <w:jc w:val="both"/>
              <w:textAlignment w:val="auto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заява щодо забезпечення розумним пристосуванням за формою згідно з додатком 3 до Порядку проведення конкурсу на зайняття посад державної служби</w:t>
            </w:r>
          </w:p>
        </w:tc>
      </w:tr>
      <w:tr>
        <w:trPr/>
        <w:tc>
          <w:tcPr>
            <w:tcW w:w="3358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Прізвище, ім’я та по батькові, номер телефону та адреса електронної пошти особи, яка надає додаткову інформацію з питань проведення конкурсу</w:t>
            </w:r>
          </w:p>
        </w:tc>
        <w:tc>
          <w:tcPr>
            <w:tcW w:w="62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Style20"/>
              <w:widowControl w:val="false"/>
              <w:spacing w:lineRule="auto" w:line="240" w:before="0" w:after="0"/>
              <w:ind w:left="0" w:right="0" w:hanging="0"/>
              <w:jc w:val="both"/>
              <w:rPr/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single"/>
                <w:lang w:val="uk-UA"/>
              </w:rPr>
              <w:t>Кальній Світлана Миколаївна,</w:t>
            </w:r>
          </w:p>
          <w:p>
            <w:pPr>
              <w:pStyle w:val="Style20"/>
              <w:widowControl w:val="false"/>
              <w:spacing w:lineRule="auto" w:line="240" w:before="0" w:after="0"/>
              <w:ind w:left="0" w:right="0" w:hanging="0"/>
              <w:jc w:val="both"/>
              <w:textAlignment w:val="auto"/>
              <w:rPr/>
            </w:pPr>
            <w:r>
              <w:rPr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8"/>
                <w:szCs w:val="28"/>
                <w:highlight w:val="white"/>
                <w:u w:val="single"/>
                <w:lang w:val="uk-UA"/>
              </w:rPr>
              <w:t>096-398-23-32</w:t>
            </w:r>
          </w:p>
        </w:tc>
      </w:tr>
      <w:tr>
        <w:trPr/>
        <w:tc>
          <w:tcPr>
            <w:tcW w:w="9635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  <w:lang w:val="uk-UA"/>
              </w:rPr>
              <w:t>Кваліфікаційні вимоги</w:t>
            </w:r>
          </w:p>
        </w:tc>
      </w:tr>
      <w:tr>
        <w:trPr/>
        <w:tc>
          <w:tcPr>
            <w:tcW w:w="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97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Освіта</w:t>
            </w:r>
          </w:p>
        </w:tc>
        <w:tc>
          <w:tcPr>
            <w:tcW w:w="62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left="34" w:hanging="0"/>
              <w:jc w:val="both"/>
              <w:textAlignment w:val="auto"/>
              <w:rPr/>
            </w:pPr>
            <w:r>
              <w:rPr>
                <w:rFonts w:ascii="Times New Roman" w:hAnsi="Times New Roman"/>
                <w:b w:val="false"/>
                <w:bCs w:val="false"/>
                <w:color w:val="00000A"/>
                <w:sz w:val="28"/>
                <w:szCs w:val="28"/>
                <w:u w:val="none"/>
                <w:lang w:val="uk-UA"/>
              </w:rPr>
              <w:t>вища, не нижче молодшого бакалавра або бакалавра</w:t>
            </w:r>
          </w:p>
        </w:tc>
      </w:tr>
      <w:tr>
        <w:trPr/>
        <w:tc>
          <w:tcPr>
            <w:tcW w:w="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97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Досвід роботи</w:t>
            </w:r>
          </w:p>
        </w:tc>
        <w:tc>
          <w:tcPr>
            <w:tcW w:w="62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ind w:left="34" w:hanging="0"/>
              <w:jc w:val="left"/>
              <w:textAlignment w:val="auto"/>
              <w:rPr/>
            </w:pPr>
            <w:r>
              <w:rPr>
                <w:rFonts w:ascii="Times New Roman" w:hAnsi="Times New Roman"/>
                <w:b w:val="false"/>
                <w:bCs w:val="false"/>
                <w:color w:val="00000A"/>
                <w:sz w:val="28"/>
                <w:szCs w:val="28"/>
                <w:u w:val="none"/>
                <w:lang w:val="uk-UA"/>
              </w:rPr>
              <w:t>не потребує</w:t>
            </w:r>
          </w:p>
        </w:tc>
      </w:tr>
      <w:tr>
        <w:trPr/>
        <w:tc>
          <w:tcPr>
            <w:tcW w:w="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97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Володіння державною мовою</w:t>
            </w:r>
          </w:p>
        </w:tc>
        <w:tc>
          <w:tcPr>
            <w:tcW w:w="62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pacing w:lineRule="auto" w:line="240"/>
              <w:ind w:left="34" w:hanging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вільне володіння державною мовою</w:t>
            </w:r>
          </w:p>
        </w:tc>
      </w:tr>
      <w:tr>
        <w:trPr/>
        <w:tc>
          <w:tcPr>
            <w:tcW w:w="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97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Володіння іноземною мовою</w:t>
            </w:r>
          </w:p>
        </w:tc>
        <w:tc>
          <w:tcPr>
            <w:tcW w:w="62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pacing w:lineRule="auto" w:line="240"/>
              <w:ind w:left="118" w:hanging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>
        <w:trPr/>
        <w:tc>
          <w:tcPr>
            <w:tcW w:w="9635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Вимоги до компетентності</w:t>
            </w:r>
          </w:p>
        </w:tc>
      </w:tr>
      <w:tr>
        <w:trPr/>
        <w:tc>
          <w:tcPr>
            <w:tcW w:w="3358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Вимога</w:t>
            </w:r>
          </w:p>
        </w:tc>
        <w:tc>
          <w:tcPr>
            <w:tcW w:w="62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Компоненти вимоги</w:t>
            </w:r>
          </w:p>
        </w:tc>
      </w:tr>
      <w:tr>
        <w:trPr>
          <w:trHeight w:val="753" w:hRule="atLeast"/>
        </w:trPr>
        <w:tc>
          <w:tcPr>
            <w:tcW w:w="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97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Комунікація і взаємодія</w:t>
            </w:r>
          </w:p>
        </w:tc>
        <w:tc>
          <w:tcPr>
            <w:tcW w:w="62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Web"/>
              <w:widowControl w:val="false"/>
              <w:tabs>
                <w:tab w:val="left" w:pos="318" w:leader="none"/>
              </w:tabs>
              <w:bidi w:val="0"/>
              <w:spacing w:beforeAutospacing="0" w:before="0" w:afterAutospacing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уміння встановлювати відкриті, шанобливі стосунки, засновані на довірі та взаєморозумінні;</w:t>
            </w:r>
          </w:p>
          <w:p>
            <w:pPr>
              <w:pStyle w:val="NormalWeb"/>
              <w:widowControl w:val="false"/>
              <w:tabs>
                <w:tab w:val="left" w:pos="318" w:leader="none"/>
              </w:tabs>
              <w:bidi w:val="0"/>
              <w:spacing w:beforeAutospacing="0" w:before="0" w:afterAutospacing="0" w:after="0"/>
              <w:ind w:left="34" w:hanging="0"/>
              <w:jc w:val="both"/>
              <w:rPr/>
            </w:pPr>
            <w:r>
              <w:rPr>
                <w:sz w:val="28"/>
                <w:szCs w:val="28"/>
              </w:rPr>
              <w:t>- своєчасно виявляти і попереджати потенційно можливу проблемну ситуацію;</w:t>
            </w:r>
          </w:p>
        </w:tc>
      </w:tr>
      <w:tr>
        <w:trPr/>
        <w:tc>
          <w:tcPr>
            <w:tcW w:w="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97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Стресостійкість</w:t>
            </w:r>
          </w:p>
        </w:tc>
        <w:tc>
          <w:tcPr>
            <w:tcW w:w="62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pacing w:lineRule="auto" w:line="240"/>
              <w:ind w:left="34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уміння розуміти та управляти своїми емоціями;</w:t>
            </w:r>
          </w:p>
          <w:p>
            <w:pPr>
              <w:pStyle w:val="Normal"/>
              <w:widowControl w:val="false"/>
              <w:spacing w:lineRule="auto" w:line="240"/>
              <w:ind w:left="34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здатність до самоконтролю;</w:t>
            </w:r>
          </w:p>
          <w:p>
            <w:pPr>
              <w:pStyle w:val="Normal"/>
              <w:widowControl w:val="false"/>
              <w:spacing w:lineRule="auto" w:line="240"/>
              <w:ind w:left="34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здатність до конструктивного ставлення до зворотного зв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’</w:t>
            </w:r>
            <w:r>
              <w:rPr>
                <w:rFonts w:ascii="Times New Roman" w:hAnsi="Times New Roman"/>
                <w:sz w:val="28"/>
                <w:szCs w:val="28"/>
              </w:rPr>
              <w:t>язку, зокрема критики;</w:t>
            </w:r>
          </w:p>
          <w:p>
            <w:pPr>
              <w:pStyle w:val="Normal"/>
              <w:widowControl w:val="false"/>
              <w:spacing w:lineRule="auto" w:line="240"/>
              <w:ind w:left="34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оптимізм.</w:t>
            </w:r>
          </w:p>
        </w:tc>
      </w:tr>
      <w:tr>
        <w:trPr/>
        <w:tc>
          <w:tcPr>
            <w:tcW w:w="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97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Доброчесність</w:t>
            </w:r>
          </w:p>
        </w:tc>
        <w:tc>
          <w:tcPr>
            <w:tcW w:w="62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pacing w:lineRule="auto" w:line="240"/>
              <w:ind w:left="34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здатність дотримуватися правил етичної поведінки, порядності, чесності, справедливості, підзвітності;</w:t>
            </w:r>
          </w:p>
          <w:p>
            <w:pPr>
              <w:pStyle w:val="Normal"/>
              <w:widowControl w:val="false"/>
              <w:spacing w:lineRule="auto" w:line="240"/>
              <w:ind w:left="34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усвідомлення обмеження у виявленні переваг, прихильності та/або негативного ставлення до окремих фізичних та юридичних осіб, політичних партій, громадських, релігійних та інших організацій.</w:t>
            </w:r>
          </w:p>
        </w:tc>
      </w:tr>
      <w:tr>
        <w:trPr/>
        <w:tc>
          <w:tcPr>
            <w:tcW w:w="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97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Орієнтація на досягнення результату</w:t>
            </w:r>
          </w:p>
        </w:tc>
        <w:tc>
          <w:tcPr>
            <w:tcW w:w="62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навички коригування дій з метою підвищення результативності;</w:t>
            </w:r>
          </w:p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уміння зберігати високу працездатність в екстремальних умовах;</w:t>
            </w:r>
          </w:p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уміння визначати цілі, пріоритети</w:t>
            </w:r>
          </w:p>
        </w:tc>
      </w:tr>
      <w:tr>
        <w:trPr/>
        <w:tc>
          <w:tcPr>
            <w:tcW w:w="3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97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Цифрова грамотність</w:t>
            </w:r>
          </w:p>
        </w:tc>
        <w:tc>
          <w:tcPr>
            <w:tcW w:w="62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pacing w:lineRule="auto" w:line="240"/>
              <w:ind w:left="27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вміння використовувати комп’ютерні пристрої, базове офісне та спеціалізоване програмне забезпечення для ефективного виконання своїх посадових обов’язків;</w:t>
            </w:r>
          </w:p>
          <w:p>
            <w:pPr>
              <w:pStyle w:val="Normal"/>
              <w:widowControl w:val="false"/>
              <w:spacing w:lineRule="auto" w:line="240"/>
              <w:ind w:left="27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здатність працювати з документами в різних цифрових форматах; зберігати, накопичувати, впорядковувати, архівувати цифрові ресурси та дані різних типів;</w:t>
            </w:r>
          </w:p>
          <w:p>
            <w:pPr>
              <w:pStyle w:val="Normal"/>
              <w:widowControl w:val="false"/>
              <w:spacing w:lineRule="auto" w:line="240"/>
              <w:ind w:left="27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здатність уникати небезпек в цифровому середовищі, захищати особисті та конфіденційні дані;</w:t>
            </w:r>
          </w:p>
          <w:p>
            <w:pPr>
              <w:pStyle w:val="Normal"/>
              <w:widowControl w:val="false"/>
              <w:spacing w:lineRule="auto" w:line="240"/>
              <w:ind w:left="27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вміння використовувати електронні реєстри, системи електронного документообігу, вміти користуватись кваліфікованим електронним підписом (КЕП);</w:t>
            </w:r>
          </w:p>
          <w:p>
            <w:pPr>
              <w:pStyle w:val="Normal"/>
              <w:widowControl w:val="false"/>
              <w:spacing w:lineRule="auto" w:line="240"/>
              <w:ind w:left="27" w:hanging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- здатність використовувати відкриті цифрові ресурси для власного професійного розвитку.</w:t>
            </w:r>
          </w:p>
          <w:p>
            <w:pPr>
              <w:pStyle w:val="Normal"/>
              <w:widowControl w:val="false"/>
              <w:spacing w:lineRule="auto" w:line="240"/>
              <w:ind w:left="27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</w:tc>
      </w:tr>
      <w:tr>
        <w:trPr/>
        <w:tc>
          <w:tcPr>
            <w:tcW w:w="9635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Професійні знання</w:t>
            </w:r>
          </w:p>
        </w:tc>
      </w:tr>
      <w:tr>
        <w:trPr>
          <w:trHeight w:val="412" w:hRule="atLeast"/>
        </w:trPr>
        <w:tc>
          <w:tcPr>
            <w:tcW w:w="3358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Вимога</w:t>
            </w:r>
          </w:p>
        </w:tc>
        <w:tc>
          <w:tcPr>
            <w:tcW w:w="627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Компоненти вимоги</w:t>
            </w:r>
          </w:p>
        </w:tc>
      </w:tr>
      <w:tr>
        <w:trPr>
          <w:trHeight w:val="1124" w:hRule="atLeast"/>
        </w:trPr>
        <w:tc>
          <w:tcPr>
            <w:tcW w:w="6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72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Знання законодавства</w:t>
            </w:r>
          </w:p>
        </w:tc>
        <w:tc>
          <w:tcPr>
            <w:tcW w:w="6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highlight w:val="white"/>
              </w:rPr>
              <w:t>Знання:</w:t>
            </w:r>
          </w:p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highlight w:val="white"/>
              </w:rPr>
              <w:t>Конституції України;</w:t>
            </w:r>
          </w:p>
          <w:p>
            <w:pPr>
              <w:pStyle w:val="Normal"/>
              <w:widowControl w:val="false"/>
              <w:spacing w:lineRule="auto" w:line="240"/>
              <w:ind w:hanging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  <w:highlight w:val="white"/>
              </w:rPr>
              <w:t>Закону України “Про державну службу” (зі змінами);</w:t>
            </w:r>
          </w:p>
          <w:p>
            <w:pPr>
              <w:pStyle w:val="Normal"/>
              <w:widowControl w:val="false"/>
              <w:spacing w:lineRule="auto" w:line="240"/>
              <w:ind w:hanging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  <w:highlight w:val="white"/>
              </w:rPr>
              <w:t>Закону України “Про запобігання корупції” (зі змінами) та іншого законодавства</w:t>
            </w:r>
          </w:p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  <w:highlight w:val="white"/>
              </w:rPr>
            </w:pPr>
            <w:r>
              <w:rPr/>
            </w:r>
          </w:p>
        </w:tc>
      </w:tr>
      <w:tr>
        <w:trPr>
          <w:trHeight w:val="1124" w:hRule="atLeast"/>
        </w:trPr>
        <w:tc>
          <w:tcPr>
            <w:tcW w:w="6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72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Знання законодавства у сфері</w:t>
            </w:r>
          </w:p>
        </w:tc>
        <w:tc>
          <w:tcPr>
            <w:tcW w:w="6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ListParagraph"/>
              <w:widowControl w:val="false"/>
              <w:tabs>
                <w:tab w:val="left" w:pos="0" w:leader="none"/>
              </w:tabs>
              <w:spacing w:lineRule="auto" w:line="240"/>
              <w:ind w:left="283" w:hanging="24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highlight w:val="white"/>
              </w:rPr>
              <w:t>Знання:</w:t>
            </w:r>
          </w:p>
          <w:p>
            <w:pPr>
              <w:pStyle w:val="ListParagraph"/>
              <w:widowControl w:val="false"/>
              <w:tabs>
                <w:tab w:val="left" w:pos="0" w:leader="none"/>
              </w:tabs>
              <w:spacing w:lineRule="auto" w:line="240"/>
              <w:ind w:left="283" w:hanging="24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highlight w:val="white"/>
              </w:rPr>
              <w:t>Положення про Пенсійний фонд України</w:t>
            </w:r>
          </w:p>
          <w:p>
            <w:pPr>
              <w:pStyle w:val="ListParagraph"/>
              <w:widowControl w:val="false"/>
              <w:spacing w:lineRule="auto" w:line="240"/>
              <w:ind w:left="0" w:firstLine="34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  <w:highlight w:val="white"/>
              </w:rPr>
              <w:t>Закон України “Про Державний бюджет на 2025 рік”</w:t>
            </w:r>
          </w:p>
          <w:p>
            <w:pPr>
              <w:pStyle w:val="ListParagraph"/>
              <w:widowControl w:val="false"/>
              <w:spacing w:lineRule="auto" w:line="240"/>
              <w:ind w:left="0" w:firstLine="34"/>
              <w:jc w:val="both"/>
              <w:rPr>
                <w:rFonts w:ascii="Times New Roman" w:hAnsi="Times New Roman"/>
                <w:sz w:val="28"/>
                <w:szCs w:val="28"/>
                <w:highlight w:val="white"/>
              </w:rPr>
            </w:pPr>
            <w:r>
              <w:rPr/>
            </w:r>
          </w:p>
        </w:tc>
      </w:tr>
      <w:tr>
        <w:trPr>
          <w:trHeight w:val="448" w:hRule="atLeast"/>
        </w:trPr>
        <w:tc>
          <w:tcPr>
            <w:tcW w:w="6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72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/>
            </w:pPr>
            <w:bookmarkStart w:id="0" w:name="_GoBack"/>
            <w:bookmarkEnd w:id="0"/>
            <w:r>
              <w:rPr>
                <w:rFonts w:ascii="Times New Roman" w:hAnsi="Times New Roman"/>
                <w:sz w:val="28"/>
                <w:szCs w:val="28"/>
              </w:rPr>
              <w:t xml:space="preserve">Знання законодавства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з питань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  <w:highlight w:val="white"/>
              </w:rPr>
              <w:t>Управління  пенсійного забезпечення, надання страхових виплат та соціальних послуг</w:t>
            </w:r>
          </w:p>
        </w:tc>
        <w:tc>
          <w:tcPr>
            <w:tcW w:w="6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highlight w:val="white"/>
              </w:rPr>
              <w:t>Знання:</w:t>
            </w:r>
          </w:p>
          <w:p>
            <w:pPr>
              <w:pStyle w:val="Normal"/>
              <w:widowControl w:val="false"/>
              <w:spacing w:lineRule="auto" w:line="240"/>
              <w:ind w:hanging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  <w:highlight w:val="white"/>
              </w:rPr>
              <w:t xml:space="preserve">Закон України “Про доступ до публічної інформації”; </w:t>
            </w:r>
          </w:p>
          <w:p>
            <w:pPr>
              <w:pStyle w:val="Normal"/>
              <w:widowControl w:val="false"/>
              <w:spacing w:lineRule="auto" w:line="240"/>
              <w:ind w:hanging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  <w:highlight w:val="white"/>
              </w:rPr>
              <w:t>Закон України “Про загальнообов’язкове державне пенсійне  страхування”;</w:t>
            </w:r>
          </w:p>
          <w:p>
            <w:pPr>
              <w:pStyle w:val="Normal"/>
              <w:widowControl w:val="false"/>
              <w:spacing w:lineRule="auto" w:line="240"/>
              <w:ind w:hanging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  <w:highlight w:val="white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highlight w:val="white"/>
              </w:rPr>
              <w:t>Закон України “Про пенсійне забезпечення”;</w:t>
            </w:r>
          </w:p>
          <w:p>
            <w:pPr>
              <w:pStyle w:val="Normal"/>
              <w:widowControl w:val="false"/>
              <w:spacing w:lineRule="auto" w:line="240"/>
              <w:ind w:hanging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  <w:highlight w:val="white"/>
              </w:rPr>
              <w:t>Закон України “Про статус і соціальний захист громадян, які постраждали внаслідок Чорнобильської катастрофи”;</w:t>
            </w:r>
          </w:p>
          <w:p>
            <w:pPr>
              <w:pStyle w:val="Normal"/>
              <w:widowControl w:val="false"/>
              <w:spacing w:lineRule="auto" w:line="240"/>
              <w:ind w:hanging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  <w:highlight w:val="white"/>
              </w:rPr>
              <w:t>Закон України  “Про збір на обов'язкове державне пенсійне  страхування”;</w:t>
            </w:r>
          </w:p>
          <w:p>
            <w:pPr>
              <w:pStyle w:val="Normal"/>
              <w:widowControl w:val="false"/>
              <w:spacing w:lineRule="auto" w:line="240"/>
              <w:ind w:hanging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  <w:highlight w:val="white"/>
              </w:rPr>
              <w:t>Закон України “Про оплату праці”;</w:t>
            </w:r>
          </w:p>
          <w:p>
            <w:pPr>
              <w:pStyle w:val="Normal"/>
              <w:widowControl w:val="false"/>
              <w:spacing w:lineRule="auto" w:line="240"/>
              <w:ind w:hanging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  <w:highlight w:val="white"/>
              </w:rPr>
              <w:t>Закон України “Про судоустрій та статус суддів”;</w:t>
            </w:r>
          </w:p>
          <w:p>
            <w:pPr>
              <w:pStyle w:val="Normal"/>
              <w:widowControl w:val="false"/>
              <w:spacing w:lineRule="auto" w:line="240"/>
              <w:ind w:hanging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  <w:highlight w:val="white"/>
              </w:rPr>
              <w:t>Закон України “Про прокуратуру”;</w:t>
            </w:r>
          </w:p>
          <w:p>
            <w:pPr>
              <w:pStyle w:val="Normal"/>
              <w:widowControl w:val="false"/>
              <w:spacing w:lineRule="auto" w:line="240"/>
              <w:ind w:hanging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  <w:highlight w:val="white"/>
              </w:rPr>
              <w:t>Закон України “Про наукову і науково-технічну діяльність”;</w:t>
            </w:r>
          </w:p>
          <w:p>
            <w:pPr>
              <w:pStyle w:val="Normal"/>
              <w:widowControl w:val="false"/>
              <w:spacing w:lineRule="auto" w:line="240"/>
              <w:ind w:hanging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  <w:highlight w:val="white"/>
              </w:rPr>
              <w:t>Закон України “Про державну підтримку засобів масової інформації та соціальний захист журналістів”;</w:t>
            </w:r>
          </w:p>
          <w:p>
            <w:pPr>
              <w:pStyle w:val="Normal"/>
              <w:widowControl w:val="false"/>
              <w:spacing w:lineRule="auto" w:line="240"/>
              <w:ind w:hanging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  <w:highlight w:val="white"/>
              </w:rPr>
              <w:t>Закон України “Про національний банк України”;</w:t>
            </w:r>
          </w:p>
          <w:p>
            <w:pPr>
              <w:pStyle w:val="Normal"/>
              <w:widowControl w:val="false"/>
              <w:spacing w:lineRule="auto" w:line="240"/>
              <w:ind w:hanging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  <w:highlight w:val="white"/>
              </w:rPr>
              <w:t>Закон України “Про службу в органах місцевого самоврядування”;</w:t>
            </w:r>
          </w:p>
          <w:p>
            <w:pPr>
              <w:pStyle w:val="Normal"/>
              <w:widowControl w:val="false"/>
              <w:spacing w:lineRule="auto" w:line="240"/>
              <w:ind w:hanging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  <w:highlight w:val="white"/>
              </w:rPr>
              <w:t>Закон України “Про пенсійне забезпечення осіб, звільнених з військової служби та деяких інших осіб”;</w:t>
            </w:r>
          </w:p>
          <w:p>
            <w:pPr>
              <w:pStyle w:val="Normal"/>
              <w:widowControl w:val="false"/>
              <w:spacing w:lineRule="auto" w:line="240"/>
              <w:ind w:hanging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  <w:highlight w:val="white"/>
              </w:rPr>
              <w:t>Закон України “Про статус народного депутата України”;</w:t>
            </w:r>
          </w:p>
          <w:p>
            <w:pPr>
              <w:pStyle w:val="Normal"/>
              <w:widowControl w:val="false"/>
              <w:spacing w:lineRule="auto" w:line="240"/>
              <w:ind w:hanging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  <w:highlight w:val="white"/>
              </w:rPr>
              <w:t>Закон України “Про судову експертизу”;</w:t>
            </w:r>
          </w:p>
          <w:p>
            <w:pPr>
              <w:pStyle w:val="Normal"/>
              <w:widowControl w:val="false"/>
              <w:spacing w:lineRule="auto" w:line="240"/>
              <w:ind w:hanging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  <w:highlight w:val="white"/>
              </w:rPr>
              <w:t>Закон України “Про дипломатичну службу”;</w:t>
            </w:r>
          </w:p>
          <w:p>
            <w:pPr>
              <w:pStyle w:val="Normal"/>
              <w:widowControl w:val="false"/>
              <w:spacing w:lineRule="auto" w:line="240"/>
              <w:ind w:hanging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  <w:highlight w:val="white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highlight w:val="white"/>
              </w:rPr>
              <w:t>Закон України “Про Кабінет Міністрів України”;</w:t>
            </w:r>
          </w:p>
          <w:p>
            <w:pPr>
              <w:pStyle w:val="Normal"/>
              <w:widowControl w:val="false"/>
              <w:spacing w:lineRule="auto" w:line="240"/>
              <w:ind w:hanging="0"/>
              <w:jc w:val="both"/>
              <w:rPr>
                <w:highlight w:val="white"/>
              </w:rPr>
            </w:pPr>
            <w:r>
              <w:rPr>
                <w:rFonts w:ascii="Times New Roman" w:hAnsi="Times New Roman"/>
                <w:sz w:val="28"/>
                <w:szCs w:val="28"/>
                <w:highlight w:val="white"/>
              </w:rPr>
              <w:t>Митного кодексу України;</w:t>
            </w:r>
          </w:p>
          <w:p>
            <w:pPr>
              <w:pStyle w:val="Normal"/>
              <w:widowControl w:val="false"/>
              <w:spacing w:lineRule="auto" w:line="240"/>
              <w:ind w:hanging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  <w:highlight w:val="white"/>
              </w:rPr>
              <w:t>Порядку подання та оформлення документів для призначення (перерахунку) пенсій відповідно до Закону України “Про загальнообов'язкове державне пенсійне страхування” затвердженого Постановою правління Пенсійного фонду України 25.11.2005   № 22-1.</w:t>
            </w:r>
          </w:p>
          <w:p>
            <w:pPr>
              <w:pStyle w:val="ListParagraph"/>
              <w:widowControl w:val="false"/>
              <w:spacing w:lineRule="auto" w:line="240"/>
              <w:ind w:left="37" w:hanging="3"/>
              <w:jc w:val="both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/>
                <w:sz w:val="28"/>
                <w:szCs w:val="28"/>
                <w:highlight w:val="yellow"/>
              </w:rPr>
            </w:r>
          </w:p>
        </w:tc>
      </w:tr>
    </w:tbl>
    <w:p>
      <w:pPr>
        <w:pStyle w:val="Normal"/>
        <w:pBdr>
          <w:bottom w:val="single" w:sz="12" w:space="1" w:color="000001"/>
        </w:pBdr>
        <w:tabs>
          <w:tab w:val="left" w:pos="1545" w:leader="none"/>
        </w:tabs>
        <w:spacing w:lineRule="auto" w:line="240"/>
        <w:ind w:hanging="0"/>
        <w:jc w:val="left"/>
        <w:rPr/>
      </w:pPr>
      <w:r>
        <w:rPr/>
      </w:r>
    </w:p>
    <w:sectPr>
      <w:headerReference w:type="default" r:id="rId2"/>
      <w:type w:val="nextPage"/>
      <w:pgSz w:w="11906" w:h="16838"/>
      <w:pgMar w:left="1701" w:right="566" w:header="708" w:top="765" w:footer="0" w:bottom="709" w:gutter="0"/>
      <w:pgNumType w:start="1"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ntiqu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374193412"/>
    </w:sdtPr>
    <w:sdtContent>
      <w:p>
        <w:pPr>
          <w:pStyle w:val="Style28"/>
          <w:jc w:val="left"/>
          <w:rPr/>
        </w:pPr>
        <w:r>
          <w:rPr/>
          <w:fldChar w:fldCharType="begin"/>
        </w:r>
        <w:r>
          <w:instrText> PAGE </w:instrText>
        </w:r>
        <w:r>
          <w:fldChar w:fldCharType="separate"/>
        </w:r>
        <w:r>
          <w:t>5</w:t>
        </w:r>
        <w:r>
          <w:fldChar w:fldCharType="end"/>
        </w:r>
      </w:p>
    </w:sdtContent>
  </w:sdt>
  <w:p>
    <w:pPr>
      <w:pStyle w:val="Style28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)"/>
      <w:lvlJc w:val="left"/>
      <w:pPr>
        <w:ind w:left="720" w:hanging="360"/>
      </w:pPr>
      <w:rPr>
        <w:sz w:val="28"/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78"/>
  <w:defaultTabStop w:val="708"/>
  <w:autoHyphenation w:val="fals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en-US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page number" w:uiPriority="0"/>
    <w:lsdException w:name="Title" w:locked="1" w:uiPriority="0" w:semiHidden="0" w:unhideWhenUsed="0" w:qFormat="1"/>
    <w:lsdException w:name="Default Paragraph Font" w:locked="1" w:uiPriority="0" w:semiHidden="0" w:unhideWhenUsed="0"/>
    <w:lsdException w:name="Body Text" w:locked="1" w:uiPriority="0" w:semiHidden="0" w:unhideWhenUsed="0"/>
    <w:lsdException w:name="Subtitle" w:locked="1" w:uiPriority="0" w:semiHidden="0" w:unhideWhenUsed="0" w:qFormat="1"/>
    <w:lsdException w:name="Body Text 2" w:locked="1" w:uiPriority="0" w:semiHidden="0" w:unhideWhenUsed="0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c044f"/>
    <w:pPr>
      <w:widowControl/>
      <w:suppressAutoHyphens w:val="true"/>
      <w:bidi w:val="0"/>
      <w:spacing w:lineRule="auto" w:line="276" w:before="0" w:after="0"/>
      <w:ind w:firstLine="4536"/>
      <w:jc w:val="right"/>
    </w:pPr>
    <w:rPr>
      <w:rFonts w:ascii="Calibri" w:hAnsi="Calibri" w:eastAsia="Calibri" w:cs="Times New Roman"/>
      <w:color w:val="00000A"/>
      <w:kern w:val="0"/>
      <w:sz w:val="22"/>
      <w:szCs w:val="22"/>
      <w:lang w:val="uk-UA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Основной текст Знак"/>
    <w:semiHidden/>
    <w:qFormat/>
    <w:locked/>
    <w:rsid w:val="002f584e"/>
    <w:rPr>
      <w:rFonts w:ascii="Times New Roman" w:hAnsi="Times New Roman" w:cs="Times New Roman"/>
      <w:sz w:val="20"/>
      <w:szCs w:val="20"/>
      <w:lang w:val="uk-UA"/>
    </w:rPr>
  </w:style>
  <w:style w:type="character" w:styleId="Appleconvertedspace" w:customStyle="1">
    <w:name w:val="apple-converted-space"/>
    <w:uiPriority w:val="99"/>
    <w:qFormat/>
    <w:rsid w:val="0029122c"/>
    <w:rPr/>
  </w:style>
  <w:style w:type="character" w:styleId="Style15" w:customStyle="1">
    <w:name w:val="Основной текст с отступом Знак"/>
    <w:uiPriority w:val="99"/>
    <w:qFormat/>
    <w:locked/>
    <w:rsid w:val="00b00e55"/>
    <w:rPr>
      <w:rFonts w:cs="Times New Roman"/>
      <w:lang w:val="uk-UA"/>
    </w:rPr>
  </w:style>
  <w:style w:type="character" w:styleId="Style16" w:customStyle="1">
    <w:name w:val="Текст выноски Знак"/>
    <w:uiPriority w:val="99"/>
    <w:semiHidden/>
    <w:qFormat/>
    <w:locked/>
    <w:rsid w:val="00632d6f"/>
    <w:rPr>
      <w:rFonts w:ascii="Tahoma" w:hAnsi="Tahoma" w:cs="Tahoma"/>
      <w:sz w:val="16"/>
      <w:szCs w:val="16"/>
      <w:lang w:val="uk-UA"/>
    </w:rPr>
  </w:style>
  <w:style w:type="character" w:styleId="3" w:customStyle="1">
    <w:name w:val="Основной текст с отступом 3 Знак"/>
    <w:uiPriority w:val="99"/>
    <w:qFormat/>
    <w:locked/>
    <w:rsid w:val="00c50a7c"/>
    <w:rPr>
      <w:rFonts w:ascii="Times New Roman" w:hAnsi="Times New Roman" w:cs="Times New Roman"/>
      <w:sz w:val="16"/>
      <w:szCs w:val="16"/>
      <w:lang w:val="uk-UA" w:eastAsia="uk-UA"/>
    </w:rPr>
  </w:style>
  <w:style w:type="character" w:styleId="2" w:customStyle="1">
    <w:name w:val="Основной текст 2 Знак"/>
    <w:uiPriority w:val="99"/>
    <w:qFormat/>
    <w:locked/>
    <w:rsid w:val="00c50a7c"/>
    <w:rPr>
      <w:rFonts w:ascii="Times New Roman" w:hAnsi="Times New Roman" w:cs="Times New Roman"/>
      <w:sz w:val="24"/>
      <w:szCs w:val="24"/>
      <w:lang w:eastAsia="ru-RU"/>
    </w:rPr>
  </w:style>
  <w:style w:type="character" w:styleId="4" w:customStyle="1">
    <w:name w:val="Основной текст (4) + Не курсив"/>
    <w:qFormat/>
    <w:rsid w:val="008f67dd"/>
    <w:rPr>
      <w:rFonts w:ascii="Times New Roman" w:hAnsi="Times New Roman" w:cs="Times New Roman"/>
      <w:i/>
      <w:iCs/>
      <w:spacing w:val="4"/>
      <w:u w:val="none"/>
    </w:rPr>
  </w:style>
  <w:style w:type="character" w:styleId="Pagenumber">
    <w:name w:val="page number"/>
    <w:basedOn w:val="DefaultParagraphFont"/>
    <w:qFormat/>
    <w:rsid w:val="00a15fec"/>
    <w:rPr/>
  </w:style>
  <w:style w:type="character" w:styleId="FontStyle15" w:customStyle="1">
    <w:name w:val="Font Style15"/>
    <w:qFormat/>
    <w:rsid w:val="00563955"/>
    <w:rPr>
      <w:rFonts w:ascii="Times New Roman" w:hAnsi="Times New Roman" w:cs="Times New Roman"/>
      <w:sz w:val="24"/>
      <w:szCs w:val="24"/>
    </w:rPr>
  </w:style>
  <w:style w:type="character" w:styleId="FontStyle18" w:customStyle="1">
    <w:name w:val="Font Style18"/>
    <w:qFormat/>
    <w:rsid w:val="00462ab3"/>
    <w:rPr>
      <w:rFonts w:ascii="Times New Roman" w:hAnsi="Times New Roman" w:cs="Times New Roman"/>
      <w:sz w:val="26"/>
      <w:szCs w:val="26"/>
    </w:rPr>
  </w:style>
  <w:style w:type="character" w:styleId="FontStyle13" w:customStyle="1">
    <w:name w:val="Font Style13"/>
    <w:qFormat/>
    <w:rsid w:val="0079037d"/>
    <w:rPr>
      <w:rFonts w:ascii="Times New Roman" w:hAnsi="Times New Roman" w:cs="Times New Roman"/>
      <w:sz w:val="26"/>
      <w:szCs w:val="26"/>
    </w:rPr>
  </w:style>
  <w:style w:type="character" w:styleId="FontStyle21" w:customStyle="1">
    <w:name w:val="Font Style21"/>
    <w:qFormat/>
    <w:rsid w:val="0079037d"/>
    <w:rPr>
      <w:rFonts w:ascii="Times New Roman" w:hAnsi="Times New Roman" w:cs="Times New Roman"/>
      <w:sz w:val="26"/>
      <w:szCs w:val="26"/>
    </w:rPr>
  </w:style>
  <w:style w:type="character" w:styleId="Csd2c743de" w:customStyle="1">
    <w:name w:val="csd2c743de"/>
    <w:basedOn w:val="DefaultParagraphFont"/>
    <w:qFormat/>
    <w:rsid w:val="00b755a6"/>
    <w:rPr/>
  </w:style>
  <w:style w:type="character" w:styleId="Style17" w:customStyle="1">
    <w:name w:val="Верхний колонтитул Знак"/>
    <w:basedOn w:val="DefaultParagraphFont"/>
    <w:uiPriority w:val="99"/>
    <w:qFormat/>
    <w:rsid w:val="00015191"/>
    <w:rPr>
      <w:sz w:val="22"/>
      <w:szCs w:val="22"/>
      <w:lang w:val="uk-UA"/>
    </w:rPr>
  </w:style>
  <w:style w:type="character" w:styleId="Style18" w:customStyle="1">
    <w:name w:val="Нижний колонтитул Знак"/>
    <w:basedOn w:val="DefaultParagraphFont"/>
    <w:uiPriority w:val="99"/>
    <w:qFormat/>
    <w:rsid w:val="00015191"/>
    <w:rPr>
      <w:sz w:val="22"/>
      <w:szCs w:val="22"/>
      <w:lang w:val="uk-UA"/>
    </w:rPr>
  </w:style>
  <w:style w:type="character" w:styleId="ListLabel28">
    <w:name w:val="ListLabel 28"/>
    <w:qFormat/>
    <w:rPr>
      <w:rFonts w:ascii="Times New Roman" w:hAnsi="Times New Roman" w:cs="Times New Roman"/>
      <w:sz w:val="28"/>
    </w:rPr>
  </w:style>
  <w:style w:type="character" w:styleId="ListLabel29">
    <w:name w:val="ListLabel 29"/>
    <w:qFormat/>
    <w:rPr>
      <w:rFonts w:cs="Times New Roman"/>
    </w:rPr>
  </w:style>
  <w:style w:type="character" w:styleId="ListLabel30">
    <w:name w:val="ListLabel 30"/>
    <w:qFormat/>
    <w:rPr>
      <w:rFonts w:cs="Times New Roman"/>
    </w:rPr>
  </w:style>
  <w:style w:type="character" w:styleId="ListLabel31">
    <w:name w:val="ListLabel 31"/>
    <w:qFormat/>
    <w:rPr>
      <w:rFonts w:cs="Times New Roman"/>
    </w:rPr>
  </w:style>
  <w:style w:type="character" w:styleId="ListLabel32">
    <w:name w:val="ListLabel 32"/>
    <w:qFormat/>
    <w:rPr>
      <w:rFonts w:cs="Times New Roman"/>
    </w:rPr>
  </w:style>
  <w:style w:type="character" w:styleId="ListLabel33">
    <w:name w:val="ListLabel 33"/>
    <w:qFormat/>
    <w:rPr>
      <w:rFonts w:cs="Times New Roman"/>
    </w:rPr>
  </w:style>
  <w:style w:type="character" w:styleId="ListLabel34">
    <w:name w:val="ListLabel 34"/>
    <w:qFormat/>
    <w:rPr>
      <w:rFonts w:cs="Times New Roman"/>
    </w:rPr>
  </w:style>
  <w:style w:type="character" w:styleId="ListLabel35">
    <w:name w:val="ListLabel 35"/>
    <w:qFormat/>
    <w:rPr>
      <w:rFonts w:cs="Times New Roman"/>
    </w:rPr>
  </w:style>
  <w:style w:type="character" w:styleId="ListLabel36">
    <w:name w:val="ListLabel 36"/>
    <w:qFormat/>
    <w:rPr>
      <w:rFonts w:cs="Times New Roman"/>
    </w:rPr>
  </w:style>
  <w:style w:type="paragraph" w:styleId="Style19" w:customStyle="1">
    <w:name w:val="Заголовок"/>
    <w:basedOn w:val="Normal"/>
    <w:next w:val="Style20"/>
    <w:qFormat/>
    <w:rsid w:val="00c16b96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20">
    <w:name w:val="Body Text"/>
    <w:basedOn w:val="Normal"/>
    <w:semiHidden/>
    <w:rsid w:val="002f584e"/>
    <w:pPr>
      <w:spacing w:lineRule="auto" w:line="240"/>
      <w:ind w:hanging="0"/>
      <w:jc w:val="center"/>
    </w:pPr>
    <w:rPr>
      <w:rFonts w:ascii="Times New Roman" w:hAnsi="Times New Roman" w:eastAsia="Times New Roman"/>
      <w:sz w:val="28"/>
      <w:szCs w:val="20"/>
    </w:rPr>
  </w:style>
  <w:style w:type="paragraph" w:styleId="Style21">
    <w:name w:val="List"/>
    <w:basedOn w:val="Style20"/>
    <w:rsid w:val="00c16b96"/>
    <w:pPr/>
    <w:rPr>
      <w:rFonts w:cs="Lucida Sans"/>
    </w:rPr>
  </w:style>
  <w:style w:type="paragraph" w:styleId="Style22" w:customStyle="1">
    <w:name w:val="Caption"/>
    <w:basedOn w:val="Normal"/>
    <w:qFormat/>
    <w:rsid w:val="00c16b9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3" w:customStyle="1">
    <w:name w:val="Покажчик"/>
    <w:basedOn w:val="Normal"/>
    <w:qFormat/>
    <w:rsid w:val="00c16b96"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ce7ba3"/>
    <w:pPr>
      <w:spacing w:before="0" w:after="0"/>
      <w:ind w:left="720" w:firstLine="4536"/>
      <w:contextualSpacing/>
    </w:pPr>
    <w:rPr/>
  </w:style>
  <w:style w:type="paragraph" w:styleId="Style24">
    <w:name w:val="Body Text Indent"/>
    <w:basedOn w:val="Normal"/>
    <w:uiPriority w:val="99"/>
    <w:rsid w:val="00b00e55"/>
    <w:pPr>
      <w:spacing w:before="0" w:after="120"/>
      <w:ind w:left="283" w:firstLine="4536"/>
    </w:pPr>
    <w:rPr/>
  </w:style>
  <w:style w:type="paragraph" w:styleId="BalloonText">
    <w:name w:val="Balloon Text"/>
    <w:basedOn w:val="Normal"/>
    <w:uiPriority w:val="99"/>
    <w:semiHidden/>
    <w:qFormat/>
    <w:rsid w:val="00632d6f"/>
    <w:pPr>
      <w:spacing w:lineRule="auto" w:line="240"/>
    </w:pPr>
    <w:rPr>
      <w:rFonts w:ascii="Tahoma" w:hAnsi="Tahoma" w:cs="Tahoma"/>
      <w:sz w:val="16"/>
      <w:szCs w:val="16"/>
    </w:rPr>
  </w:style>
  <w:style w:type="paragraph" w:styleId="Style25" w:customStyle="1">
    <w:name w:val="Вміст таблиці"/>
    <w:basedOn w:val="Normal"/>
    <w:uiPriority w:val="99"/>
    <w:qFormat/>
    <w:rsid w:val="002e28f9"/>
    <w:pPr>
      <w:widowControl w:val="false"/>
      <w:suppressLineNumbers/>
      <w:spacing w:lineRule="auto" w:line="240"/>
      <w:ind w:hanging="0"/>
      <w:jc w:val="left"/>
    </w:pPr>
    <w:rPr>
      <w:rFonts w:ascii="Times New Roman" w:hAnsi="Times New Roman" w:cs="Arial Unicode MS"/>
      <w:kern w:val="2"/>
      <w:sz w:val="24"/>
      <w:szCs w:val="24"/>
      <w:lang w:eastAsia="hi-IN" w:bidi="hi-IN"/>
    </w:rPr>
  </w:style>
  <w:style w:type="paragraph" w:styleId="Rvps12" w:customStyle="1">
    <w:name w:val="rvps12"/>
    <w:basedOn w:val="Normal"/>
    <w:uiPriority w:val="99"/>
    <w:qFormat/>
    <w:rsid w:val="00a054da"/>
    <w:pPr>
      <w:spacing w:lineRule="auto" w:line="240" w:beforeAutospacing="1" w:afterAutospacing="1"/>
      <w:ind w:hanging="0"/>
      <w:jc w:val="left"/>
    </w:pPr>
    <w:rPr>
      <w:rFonts w:ascii="Times New Roman" w:hAnsi="Times New Roman" w:eastAsia="Times New Roman"/>
      <w:sz w:val="24"/>
      <w:szCs w:val="24"/>
      <w:lang w:val="ru-RU" w:eastAsia="ru-RU"/>
    </w:rPr>
  </w:style>
  <w:style w:type="paragraph" w:styleId="BodyTextIndent3">
    <w:name w:val="Body Text Indent 3"/>
    <w:basedOn w:val="Normal"/>
    <w:link w:val="3"/>
    <w:uiPriority w:val="99"/>
    <w:qFormat/>
    <w:rsid w:val="00c50a7c"/>
    <w:pPr>
      <w:spacing w:lineRule="auto" w:line="240" w:before="0" w:after="120"/>
      <w:ind w:left="283" w:hanging="0"/>
      <w:jc w:val="left"/>
    </w:pPr>
    <w:rPr>
      <w:rFonts w:ascii="Times New Roman" w:hAnsi="Times New Roman" w:eastAsia="Times New Roman"/>
      <w:sz w:val="16"/>
      <w:szCs w:val="16"/>
      <w:lang w:eastAsia="uk-UA"/>
    </w:rPr>
  </w:style>
  <w:style w:type="paragraph" w:styleId="BodyText2">
    <w:name w:val="Body Text 2"/>
    <w:basedOn w:val="Normal"/>
    <w:link w:val="2"/>
    <w:uiPriority w:val="99"/>
    <w:qFormat/>
    <w:rsid w:val="00c50a7c"/>
    <w:pPr>
      <w:spacing w:lineRule="auto" w:line="480" w:before="0" w:after="120"/>
      <w:ind w:hanging="0"/>
      <w:jc w:val="left"/>
    </w:pPr>
    <w:rPr>
      <w:rFonts w:ascii="Times New Roman" w:hAnsi="Times New Roman" w:eastAsia="Times New Roman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qFormat/>
    <w:rsid w:val="004f1915"/>
    <w:pPr>
      <w:spacing w:lineRule="auto" w:line="240" w:beforeAutospacing="1" w:afterAutospacing="1"/>
      <w:ind w:hanging="0"/>
      <w:jc w:val="left"/>
    </w:pPr>
    <w:rPr>
      <w:rFonts w:ascii="Times New Roman" w:hAnsi="Times New Roman" w:eastAsia="Times New Roman"/>
      <w:sz w:val="24"/>
      <w:szCs w:val="24"/>
      <w:lang w:eastAsia="uk-UA"/>
    </w:rPr>
  </w:style>
  <w:style w:type="paragraph" w:styleId="Style26" w:customStyle="1">
    <w:name w:val="Нормальний текст"/>
    <w:basedOn w:val="Normal"/>
    <w:qFormat/>
    <w:rsid w:val="00462ab3"/>
    <w:pPr>
      <w:spacing w:lineRule="auto" w:line="240" w:before="120" w:after="0"/>
      <w:ind w:firstLine="567"/>
      <w:jc w:val="left"/>
    </w:pPr>
    <w:rPr>
      <w:rFonts w:ascii="Antiqua" w:hAnsi="Antiqua" w:eastAsia="Times New Roman"/>
      <w:sz w:val="26"/>
      <w:szCs w:val="20"/>
      <w:lang w:eastAsia="ru-RU"/>
    </w:rPr>
  </w:style>
  <w:style w:type="paragraph" w:styleId="NoSpacing">
    <w:name w:val="No Spacing"/>
    <w:uiPriority w:val="1"/>
    <w:qFormat/>
    <w:rsid w:val="00c042f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uk-UA" w:eastAsia="uk-UA" w:bidi="ar-SA"/>
    </w:rPr>
  </w:style>
  <w:style w:type="paragraph" w:styleId="Csd270a141" w:customStyle="1">
    <w:name w:val="csd270a141"/>
    <w:basedOn w:val="Normal"/>
    <w:qFormat/>
    <w:rsid w:val="00b755a6"/>
    <w:pPr>
      <w:spacing w:lineRule="auto" w:line="240" w:beforeAutospacing="1" w:afterAutospacing="1"/>
      <w:ind w:hanging="0"/>
      <w:jc w:val="left"/>
    </w:pPr>
    <w:rPr>
      <w:rFonts w:ascii="Times New Roman" w:hAnsi="Times New Roman" w:eastAsia="Times New Roman"/>
      <w:sz w:val="24"/>
      <w:szCs w:val="24"/>
      <w:lang w:eastAsia="uk-UA"/>
    </w:rPr>
  </w:style>
  <w:style w:type="paragraph" w:styleId="Style27" w:customStyle="1">
    <w:name w:val="Верхній і нижній колонтитули"/>
    <w:basedOn w:val="Normal"/>
    <w:qFormat/>
    <w:rsid w:val="00c16b96"/>
    <w:pPr/>
    <w:rPr/>
  </w:style>
  <w:style w:type="paragraph" w:styleId="Style28" w:customStyle="1">
    <w:name w:val="Header"/>
    <w:basedOn w:val="Normal"/>
    <w:uiPriority w:val="99"/>
    <w:unhideWhenUsed/>
    <w:rsid w:val="00015191"/>
    <w:pPr>
      <w:tabs>
        <w:tab w:val="center" w:pos="4677" w:leader="none"/>
        <w:tab w:val="right" w:pos="9355" w:leader="none"/>
      </w:tabs>
      <w:spacing w:lineRule="auto" w:line="240"/>
    </w:pPr>
    <w:rPr/>
  </w:style>
  <w:style w:type="paragraph" w:styleId="Style29" w:customStyle="1">
    <w:name w:val="Footer"/>
    <w:basedOn w:val="Normal"/>
    <w:uiPriority w:val="99"/>
    <w:unhideWhenUsed/>
    <w:rsid w:val="00015191"/>
    <w:pPr>
      <w:tabs>
        <w:tab w:val="center" w:pos="4677" w:leader="none"/>
        <w:tab w:val="right" w:pos="9355" w:leader="none"/>
      </w:tabs>
      <w:spacing w:lineRule="auto" w:line="240"/>
    </w:pPr>
    <w:rPr/>
  </w:style>
  <w:style w:type="paragraph" w:styleId="Style30" w:customStyle="1">
    <w:name w:val="Заголовок таблиці"/>
    <w:basedOn w:val="Style25"/>
    <w:qFormat/>
    <w:rsid w:val="00c16b96"/>
    <w:pPr>
      <w:jc w:val="center"/>
    </w:pPr>
    <w:rPr>
      <w:b/>
      <w:bCs/>
    </w:rPr>
  </w:style>
  <w:style w:type="paragraph" w:styleId="21">
    <w:name w:val="Основной текст (2)"/>
    <w:basedOn w:val="Normal"/>
    <w:qFormat/>
    <w:pPr>
      <w:widowControl w:val="false"/>
      <w:shd w:val="clear" w:color="auto" w:fill="FFFFFF"/>
      <w:spacing w:lineRule="exact" w:line="312" w:before="240" w:after="0"/>
      <w:ind w:hanging="0"/>
    </w:pPr>
    <w:rPr>
      <w:rFonts w:ascii="Calibri" w:hAnsi="Calibri" w:eastAsia="Calibri" w:cs="" w:asciiTheme="minorHAnsi" w:cstheme="minorBidi" w:eastAsiaTheme="minorHAnsi" w:hAnsiTheme="minorHAnsi"/>
      <w:sz w:val="26"/>
      <w:szCs w:val="26"/>
      <w:lang w:eastAsia="en-US"/>
    </w:rPr>
  </w:style>
  <w:style w:type="paragraph" w:styleId="Style31">
    <w:name w:val="Обычный (веб)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6">
    <w:name w:val="Table Grid"/>
    <w:basedOn w:val="a1"/>
    <w:uiPriority w:val="99"/>
    <w:rsid w:val="00b508a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D04E20-AAB6-4FD7-A61B-7E0133A060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7312</TotalTime>
  <Application>LibreOffice/5.4.4.2$Windows_X86_64 LibreOffice_project/2524958677847fb3bb44820e40380acbe820f960</Application>
  <Pages>5</Pages>
  <Words>854</Words>
  <Characters>5912</Characters>
  <CharactersWithSpaces>6667</CharactersWithSpaces>
  <Paragraphs>112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2016-06-09T12:24:00Z</dcterms:created>
  <dc:creator>kstl_lv</dc:creator>
  <dc:description/>
  <dc:language>uk-UA</dc:language>
  <cp:lastModifiedBy/>
  <cp:lastPrinted>2025-11-07T13:46:00Z</cp:lastPrinted>
  <dcterms:modified xsi:type="dcterms:W3CDTF">2025-12-08T14:32:48Z</dcterms:modified>
  <cp:revision>382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HyperlinksChanged">
    <vt:bool>0</vt:bool>
  </property>
  <property fmtid="{D5CDD505-2E9C-101B-9397-08002B2CF9AE}" pid="4" name="LinksUpToDate">
    <vt:bool>0</vt:bool>
  </property>
  <property fmtid="{D5CDD505-2E9C-101B-9397-08002B2CF9AE}" pid="5" name="ScaleCrop">
    <vt:bool>0</vt:bool>
  </property>
  <property fmtid="{D5CDD505-2E9C-101B-9397-08002B2CF9AE}" pid="6" name="ShareDoc">
    <vt:bool>0</vt:bool>
  </property>
</Properties>
</file>