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9571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9571"/>
      </w:tblGrid>
      <w:tr>
        <w:trPr>
          <w:trHeight w:val="430" w:hRule="atLeast"/>
        </w:trPr>
        <w:tc>
          <w:tcPr>
            <w:tcW w:w="9571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</w:r>
          </w:p>
        </w:tc>
      </w:tr>
      <w:tr>
        <w:trPr>
          <w:trHeight w:val="2240" w:hRule="atLeast"/>
        </w:trPr>
        <w:tc>
          <w:tcPr>
            <w:tcW w:w="9571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 w:left="5245"/>
              <w:jc w:val="lef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ЗАТВЕРДЖЕНО</w:t>
            </w:r>
          </w:p>
          <w:p>
            <w:pPr>
              <w:pStyle w:val="Normal"/>
              <w:widowControl w:val="false"/>
              <w:spacing w:lineRule="auto" w:line="240"/>
              <w:ind w:hanging="0" w:left="5245"/>
              <w:jc w:val="left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В.о. н</w:t>
            </w:r>
            <w:r>
              <w:rPr>
                <w:rFonts w:ascii="Times New Roman" w:hAnsi="Times New Roman"/>
                <w:sz w:val="28"/>
                <w:szCs w:val="28"/>
              </w:rPr>
              <w:t>ачальник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Головного управління Пенсійного фонду України у Рівненській області</w:t>
            </w:r>
          </w:p>
          <w:p>
            <w:pPr>
              <w:pStyle w:val="Normal"/>
              <w:widowControl w:val="false"/>
              <w:spacing w:lineRule="auto" w:line="240"/>
              <w:ind w:hanging="0" w:left="5245"/>
              <w:jc w:val="left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___________Василь П</w:t>
            </w:r>
            <w:r>
              <w:rPr>
                <w:rFonts w:ascii="Times New Roman" w:hAnsi="Times New Roman"/>
                <w:sz w:val="28"/>
                <w:szCs w:val="28"/>
              </w:rPr>
              <w:t>АСІЧНИК</w:t>
            </w:r>
          </w:p>
          <w:p>
            <w:pPr>
              <w:pStyle w:val="Normal"/>
              <w:widowControl w:val="false"/>
              <w:spacing w:lineRule="auto" w:line="240"/>
              <w:ind w:hanging="0" w:left="5245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>
              <w:rPr>
                <w:rFonts w:ascii="Times New Roman" w:hAnsi="Times New Roman"/>
                <w:sz w:val="28"/>
                <w:szCs w:val="28"/>
              </w:rPr>
              <w:t>____”____________202</w:t>
            </w: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року</w:t>
            </w:r>
          </w:p>
          <w:p>
            <w:pPr>
              <w:pStyle w:val="Normal"/>
              <w:widowControl w:val="false"/>
              <w:spacing w:lineRule="auto" w:line="240"/>
              <w:ind w:hanging="0" w:left="5245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240"/>
        <w:ind w:hanging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shd w:fill="auto" w:val="clear"/>
        </w:rPr>
        <w:t>УМОВИ</w:t>
      </w:r>
    </w:p>
    <w:p>
      <w:pPr>
        <w:pStyle w:val="Normal"/>
        <w:spacing w:lineRule="auto" w:line="240"/>
        <w:ind w:hanging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shd w:fill="auto" w:val="clear"/>
        </w:rPr>
        <w:t>проведення добору на зайняття вакантної посади</w:t>
      </w:r>
    </w:p>
    <w:p>
      <w:pPr>
        <w:pStyle w:val="Normal"/>
        <w:ind w:hanging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shd w:fill="auto" w:val="clear"/>
        </w:rPr>
        <w:t xml:space="preserve">державної служби категорії “В” - головного спеціаліста </w:t>
      </w:r>
    </w:p>
    <w:p>
      <w:pPr>
        <w:pStyle w:val="Normal"/>
        <w:spacing w:lineRule="auto" w:line="240"/>
        <w:ind w:hanging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eastAsia="Times New Roman" w:ascii="Times New Roman" w:hAnsi="Times New Roman"/>
          <w:b/>
          <w:bCs/>
          <w:color w:themeColor="text1" w:val="000000"/>
          <w:sz w:val="28"/>
          <w:szCs w:val="28"/>
          <w:shd w:fill="auto" w:val="clear"/>
          <w:lang w:eastAsia="ru-RU"/>
        </w:rPr>
        <w:t xml:space="preserve">відділу </w:t>
      </w:r>
      <w:r>
        <w:rPr>
          <w:rFonts w:eastAsia="Times New Roman" w:ascii="Times New Roman" w:hAnsi="Times New Roman"/>
          <w:b/>
          <w:bCs/>
          <w:i w:val="false"/>
          <w:strike w:val="false"/>
          <w:dstrike w:val="false"/>
          <w:outline w:val="false"/>
          <w:shadow w:val="false"/>
          <w:color w:themeColor="text1" w:val="000000"/>
          <w:sz w:val="28"/>
          <w:szCs w:val="28"/>
          <w:u w:val="none"/>
          <w:shd w:fill="auto" w:val="clear"/>
          <w:em w:val="none"/>
          <w:lang w:eastAsia="ru-RU"/>
        </w:rPr>
        <w:t>з інформаційної безпеки та кіберзахисту</w:t>
      </w:r>
      <w:r>
        <w:rPr>
          <w:rFonts w:ascii="Times New Roman" w:hAnsi="Times New Roman"/>
          <w:b/>
          <w:bCs/>
          <w:sz w:val="28"/>
          <w:szCs w:val="28"/>
          <w:shd w:fill="auto" w:val="clear"/>
        </w:rPr>
        <w:t xml:space="preserve"> </w:t>
      </w:r>
      <w:r>
        <w:rPr>
          <w:rFonts w:eastAsia="Times New Roman" w:ascii="Times New Roman" w:hAnsi="Times New Roman"/>
          <w:b/>
          <w:bCs/>
          <w:i w:val="false"/>
          <w:strike w:val="false"/>
          <w:dstrike w:val="false"/>
          <w:outline w:val="false"/>
          <w:shadow w:val="false"/>
          <w:color w:val="000000"/>
          <w:sz w:val="28"/>
          <w:szCs w:val="28"/>
          <w:u w:val="none"/>
          <w:shd w:fill="auto" w:val="clear"/>
          <w:em w:val="none"/>
          <w:lang w:eastAsia="ru-RU"/>
        </w:rPr>
        <w:t>у</w:t>
      </w:r>
      <w:r>
        <w:rPr>
          <w:rFonts w:eastAsia="Times New Roman" w:ascii="Times New Roman" w:hAnsi="Times New Roman"/>
          <w:b/>
          <w:bCs/>
          <w:i w:val="false"/>
          <w:strike w:val="false"/>
          <w:dstrike w:val="false"/>
          <w:outline w:val="false"/>
          <w:shadow w:val="false"/>
          <w:color w:themeColor="text1" w:val="000000"/>
          <w:sz w:val="28"/>
          <w:szCs w:val="28"/>
          <w:u w:val="none"/>
          <w:shd w:fill="auto" w:val="clear"/>
          <w:em w:val="none"/>
          <w:lang w:eastAsia="ru-RU"/>
        </w:rPr>
        <w:t xml:space="preserve">правління інформаційних систем та електронних реєстрів </w:t>
      </w:r>
      <w:r>
        <w:rPr>
          <w:rFonts w:eastAsia="Times New Roman" w:cs="Times New Roman" w:ascii="Times New Roman" w:hAnsi="Times New Roman"/>
          <w:b/>
          <w:bCs/>
          <w:i w:val="false"/>
          <w:strike w:val="false"/>
          <w:dstrike w:val="false"/>
          <w:outline w:val="false"/>
          <w:shadow w:val="false"/>
          <w:color w:val="000000"/>
          <w:sz w:val="28"/>
          <w:szCs w:val="28"/>
          <w:highlight w:val="white"/>
          <w:u w:val="none"/>
          <w:shd w:fill="auto" w:val="clear"/>
          <w:em w:val="none"/>
          <w:lang w:val="uk-UA" w:eastAsia="ru-RU"/>
        </w:rPr>
        <w:t>(</w:t>
      </w:r>
      <w:r>
        <w:rPr>
          <w:rFonts w:eastAsia="Times New Roman" w:cs="Times New Roman" w:ascii="Times New Roman" w:hAnsi="Times New Roman"/>
          <w:b/>
          <w:bCs/>
          <w:i w:val="false"/>
          <w:strike w:val="false"/>
          <w:dstrike w:val="false"/>
          <w:outline w:val="false"/>
          <w:shadow w:val="false"/>
          <w:color w:val="000000"/>
          <w:sz w:val="28"/>
          <w:szCs w:val="28"/>
          <w:highlight w:val="white"/>
          <w:u w:val="none"/>
          <w:shd w:fill="auto" w:val="clear"/>
          <w:em w:val="none"/>
          <w:lang w:val="uk-UA" w:eastAsia="ru-RU" w:bidi="ar-SA"/>
        </w:rPr>
        <w:t>строково</w:t>
      </w:r>
      <w:r>
        <w:rPr>
          <w:rFonts w:eastAsia="Times New Roman" w:cs="Times New Roman" w:ascii="Times New Roman" w:hAnsi="Times New Roman"/>
          <w:b/>
          <w:bCs/>
          <w:i w:val="false"/>
          <w:strike w:val="false"/>
          <w:dstrike w:val="false"/>
          <w:outline w:val="false"/>
          <w:shadow w:val="false"/>
          <w:color w:val="000000"/>
          <w:sz w:val="28"/>
          <w:szCs w:val="28"/>
          <w:highlight w:val="white"/>
          <w:u w:val="none"/>
          <w:shd w:fill="auto" w:val="clear"/>
          <w:em w:val="none"/>
          <w:lang w:val="uk-UA" w:eastAsia="ru-RU"/>
        </w:rPr>
        <w:t>, на період відсутності основного працівника)</w:t>
      </w:r>
      <w:r>
        <w:rPr>
          <w:rFonts w:ascii="Times New Roman" w:hAnsi="Times New Roman"/>
          <w:b/>
          <w:bCs/>
          <w:sz w:val="28"/>
          <w:szCs w:val="28"/>
          <w:shd w:fill="auto" w:val="clear"/>
        </w:rPr>
        <w:t xml:space="preserve"> – (робоче місце - м. Рівне) </w:t>
      </w:r>
      <w:r>
        <w:rPr>
          <w:rFonts w:ascii="Times New Roman" w:hAnsi="Times New Roman"/>
          <w:b/>
          <w:bCs/>
          <w:sz w:val="28"/>
          <w:szCs w:val="28"/>
          <w:shd w:fill="auto" w:val="clear"/>
        </w:rPr>
        <w:t>1</w:t>
      </w:r>
      <w:r>
        <w:rPr>
          <w:rFonts w:ascii="Times New Roman" w:hAnsi="Times New Roman"/>
          <w:b/>
          <w:bCs/>
          <w:sz w:val="28"/>
          <w:szCs w:val="28"/>
          <w:shd w:fill="auto" w:val="clear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shd w:fill="auto" w:val="clear"/>
        </w:rPr>
        <w:t>посада</w:t>
      </w:r>
      <w:r>
        <w:rPr>
          <w:rFonts w:ascii="Times New Roman" w:hAnsi="Times New Roman"/>
          <w:b/>
          <w:bCs/>
          <w:sz w:val="28"/>
          <w:szCs w:val="28"/>
          <w:shd w:fill="auto" w:val="clear"/>
        </w:rPr>
        <w:t>.</w:t>
      </w:r>
    </w:p>
    <w:tbl>
      <w:tblPr>
        <w:tblW w:w="10020" w:type="dxa"/>
        <w:jc w:val="left"/>
        <w:tblInd w:w="103" w:type="dxa"/>
        <w:tblLayout w:type="fixed"/>
        <w:tblCellMar>
          <w:top w:w="0" w:type="dxa"/>
          <w:left w:w="88" w:type="dxa"/>
          <w:bottom w:w="0" w:type="dxa"/>
          <w:right w:w="108" w:type="dxa"/>
        </w:tblCellMar>
        <w:tblLook w:val="00a0"/>
      </w:tblPr>
      <w:tblGrid>
        <w:gridCol w:w="376"/>
        <w:gridCol w:w="323"/>
        <w:gridCol w:w="2656"/>
        <w:gridCol w:w="4"/>
        <w:gridCol w:w="6661"/>
      </w:tblGrid>
      <w:tr>
        <w:trPr/>
        <w:tc>
          <w:tcPr>
            <w:tcW w:w="10020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Загальні умови</w:t>
            </w:r>
          </w:p>
        </w:tc>
      </w:tr>
      <w:tr>
        <w:trPr/>
        <w:tc>
          <w:tcPr>
            <w:tcW w:w="335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Посадові обов’язки</w:t>
            </w:r>
          </w:p>
        </w:tc>
        <w:tc>
          <w:tcPr>
            <w:tcW w:w="66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istParagraph"/>
              <w:widowControl w:val="false"/>
              <w:spacing w:lineRule="auto" w:line="240"/>
              <w:ind w:hanging="0" w:left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 xml:space="preserve">1. </w:t>
            </w:r>
            <w:r>
              <w:rPr>
                <w:rStyle w:val="FontStyle15"/>
                <w:rFonts w:eastAsia="Calibri" w:cs="Times New Roman"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shd w:fill="auto" w:val="clear"/>
                <w:em w:val="none"/>
                <w:lang w:val="uk-UA" w:eastAsia="zh-CN" w:bidi="ar-SA"/>
              </w:rPr>
              <w:t>Здійснення, в межах визначеної компетенції, заходів щодо кібербезпеки, кіберзахисту та інформаційної безпеки вузлів ІКС ПФУ обласного та районного рівня.</w:t>
            </w:r>
          </w:p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 xml:space="preserve">2. </w:t>
            </w:r>
            <w:r>
              <w:rPr>
                <w:rFonts w:cs="Times New Roman"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shd w:fill="auto" w:val="clear"/>
                <w:em w:val="none"/>
              </w:rPr>
              <w:t xml:space="preserve">Проведення спостереження та забезпечення контролю за функціонуванням цільового профілю з безпеки на вузлах ІКС ПФУ </w:t>
            </w:r>
            <w:r>
              <w:rPr>
                <w:rFonts w:eastAsia="Calibri" w:cs="Times New Roman"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shd w:fill="auto" w:val="clear"/>
                <w:em w:val="none"/>
              </w:rPr>
              <w:t>обласного та районного рівня</w:t>
            </w:r>
            <w:r>
              <w:rPr>
                <w:rFonts w:cs="Times New Roman"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shd w:fill="auto" w:val="clear"/>
                <w:em w:val="none"/>
              </w:rPr>
              <w:t xml:space="preserve"> та КСЗІ до завершення строку її дії, аналіз стану та ризиків безпеки інформації, запобігання порушення стану безпеки, удосконалення захисту інформації. Аналіз та узагальнення досвіду роботи з питань захисту ІКС ПФУ.</w:t>
            </w:r>
          </w:p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 xml:space="preserve">3. </w:t>
            </w:r>
            <w:r>
              <w:rPr>
                <w:rFonts w:cs="Times New Roman"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shd w:fill="auto" w:val="clear"/>
                <w:em w:val="none"/>
              </w:rPr>
              <w:t xml:space="preserve">Контроль ідентифікованого доступу користувачів до електронних реєстрів, баз даних і підсистем ІКС ПФУ </w:t>
            </w:r>
            <w:r>
              <w:rPr>
                <w:rFonts w:eastAsia="Calibri" w:cs="Times New Roman"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shd w:fill="auto" w:val="clear"/>
                <w:em w:val="none"/>
              </w:rPr>
              <w:t>обласного та районного рівня</w:t>
            </w:r>
            <w:r>
              <w:rPr>
                <w:rFonts w:cs="Times New Roman"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shd w:fill="auto" w:val="clear"/>
                <w:em w:val="none"/>
              </w:rPr>
              <w:t xml:space="preserve"> та Єдиної інформаційної системи соціальної сфери, ведення обліку таких прав доступу.</w:t>
            </w:r>
          </w:p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 xml:space="preserve">4. </w:t>
            </w: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shd w:fill="auto" w:val="clear"/>
                <w:em w:val="none"/>
                <w:lang w:val="uk-UA" w:eastAsia="uk-UA" w:bidi="ar-SA"/>
              </w:rPr>
              <w:t xml:space="preserve">Здійснення супроводження та координації процесів щодо роботи програмно-технічних комплексів </w:t>
            </w:r>
            <w:r>
              <w:rPr>
                <w:rFonts w:eastAsia="Times New Roman" w:cs="Times New Roman"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shd w:fill="auto" w:val="clear"/>
                <w:em w:val="none"/>
                <w:lang w:val="uk-UA" w:eastAsia="uk-UA" w:bidi="ar-SA"/>
              </w:rPr>
              <w:t>«</w:t>
            </w: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shd w:fill="auto" w:val="clear"/>
                <w:em w:val="none"/>
                <w:lang w:val="uk-UA" w:eastAsia="uk-UA" w:bidi="ar-SA"/>
              </w:rPr>
              <w:t>Банк/Клієнт</w:t>
            </w:r>
            <w:r>
              <w:rPr>
                <w:rFonts w:eastAsia="Times New Roman" w:cs="Times New Roman"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shd w:fill="auto" w:val="clear"/>
                <w:em w:val="none"/>
                <w:lang w:val="uk-UA" w:eastAsia="uk-UA" w:bidi="ar-SA"/>
              </w:rPr>
              <w:t xml:space="preserve">» </w:t>
            </w: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shd w:fill="auto" w:val="clear"/>
                <w:em w:val="none"/>
                <w:lang w:val="uk-UA" w:eastAsia="uk-UA" w:bidi="ar-SA"/>
              </w:rPr>
              <w:t xml:space="preserve">в Головному управлінні </w:t>
            </w: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shd w:fill="auto" w:val="clear"/>
                <w:em w:val="none"/>
                <w:lang w:val="uk-UA" w:eastAsia="zh-CN" w:bidi="ar-SA"/>
              </w:rPr>
              <w:t>Пенсійного фонду України в Рівненській області</w:t>
            </w: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shd w:fill="auto" w:val="clear"/>
                <w:em w:val="none"/>
                <w:lang w:val="uk-UA" w:eastAsia="uk-UA" w:bidi="ar-SA"/>
              </w:rPr>
              <w:t>, програмно-технічних комплексів державних органів та установ.</w:t>
            </w:r>
          </w:p>
          <w:p>
            <w:pPr>
              <w:pStyle w:val="ListParagraph"/>
              <w:widowControl w:val="false"/>
              <w:spacing w:lineRule="auto" w:line="240"/>
              <w:ind w:hanging="0"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 xml:space="preserve">5. </w:t>
            </w: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shd w:fill="auto" w:val="clear"/>
                <w:em w:val="none"/>
              </w:rPr>
              <w:t xml:space="preserve">Проведення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fill="auto" w:val="clear"/>
              </w:rPr>
              <w:t xml:space="preserve">реєстраційних дії щодо використання кваліфікованого електронного підпису на носіях ключової інформації спеціалістів Головного управління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fill="auto" w:val="clear"/>
                <w:lang w:eastAsia="zh-CN"/>
              </w:rPr>
              <w:t xml:space="preserve">Пенсійного фонду України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fill="auto" w:val="clear"/>
              </w:rPr>
              <w:t>в Рівненській області</w:t>
            </w: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shd w:fill="auto" w:val="clear"/>
                <w:em w:val="none"/>
              </w:rPr>
              <w:t>.</w:t>
            </w:r>
          </w:p>
        </w:tc>
      </w:tr>
      <w:tr>
        <w:trPr/>
        <w:tc>
          <w:tcPr>
            <w:tcW w:w="335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Умови оплати праці</w:t>
            </w:r>
          </w:p>
        </w:tc>
        <w:tc>
          <w:tcPr>
            <w:tcW w:w="66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40" w:before="0" w:after="0"/>
              <w:ind w:hanging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посадов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ий оклад згідно з штатним розписом на  202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 рік – </w:t>
            </w:r>
            <w:r>
              <w:rPr>
                <w:rFonts w:ascii="Times New Roman" w:hAnsi="Times New Roman"/>
                <w:sz w:val="28"/>
                <w:szCs w:val="28"/>
                <w:lang w:val="en-US" w:eastAsia="ru-RU"/>
              </w:rPr>
              <w:t>20795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грн, надбавка за вислугу років на державній службі відповідно до п.13 Прикінцевих положень Закону України “Про державний бюджет України на 202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рік”, доплати, премії та компенсації.</w:t>
            </w:r>
          </w:p>
        </w:tc>
      </w:tr>
      <w:tr>
        <w:trPr/>
        <w:tc>
          <w:tcPr>
            <w:tcW w:w="335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Інформація про строковість чи безстроковість призначення на посаду</w:t>
            </w:r>
          </w:p>
        </w:tc>
        <w:tc>
          <w:tcPr>
            <w:tcW w:w="66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строково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 період дії воєнного стану, до дня визначення суб’єктом призначення переможця за результатами конкурсного відбору на цю посаду відповідно до законодавства, але не більше 12 місяців з дня припинення чи скасування воєнного стану.</w:t>
            </w:r>
          </w:p>
        </w:tc>
      </w:tr>
      <w:tr>
        <w:trPr/>
        <w:tc>
          <w:tcPr>
            <w:tcW w:w="335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Перелік інформації, необхідної для участі в конкурсі, та строк їх подання</w:t>
            </w:r>
          </w:p>
        </w:tc>
        <w:tc>
          <w:tcPr>
            <w:tcW w:w="66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40"/>
              <w:ind w:hanging="0" w:left="34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заява про участь у доборі на  зайняття посади державної служби;</w:t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40"/>
              <w:ind w:hanging="0" w:left="34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резюме за формою згідно з додатком 2-1 до Порядку проведення конкурсу на зайняття посад державної служби, затвердженого постановою Кабінету Міністрів України від 25 березня 2016 року №246 (зі змінами);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spacing w:lineRule="auto" w:line="240"/>
              <w:ind w:hanging="0" w:left="34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копія паспорта громадянина України з даними про прізвище, ім’я та по батькові, видачу паспорта та місце реєстрації;</w:t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40"/>
              <w:ind w:hanging="0" w:left="34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копія документів, що підтверджують наявність відповідного ступеня вищої освіти;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spacing w:lineRule="auto" w:line="240"/>
              <w:ind w:hanging="0" w:left="34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копія трудової книжки;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spacing w:lineRule="auto" w:line="240"/>
              <w:ind w:hanging="0" w:left="34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військово-облікові документи для військовозобов’язаних та призовників.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/>
              <w:ind w:firstLine="326" w:left="34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Інформація подається особисто до служби управління персоналом Головного управління Пенсійного фонду України </w:t>
            </w:r>
            <w:r>
              <w:rPr>
                <w:rFonts w:eastAsia="Calibri" w:cs="Times New Roman" w:ascii="Times New Roman" w:hAnsi="Times New Roman"/>
                <w:color w:val="00000A"/>
                <w:kern w:val="0"/>
                <w:sz w:val="28"/>
                <w:szCs w:val="28"/>
                <w:lang w:val="uk-UA" w:eastAsia="en-US" w:bidi="ar-SA"/>
              </w:rPr>
              <w:t>в Рівненській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області (м.Рівне, вул. Олександра Борисенка, 7, каб. №705) по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16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липн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я 202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6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року включно.</w:t>
            </w:r>
          </w:p>
        </w:tc>
      </w:tr>
      <w:tr>
        <w:trPr/>
        <w:tc>
          <w:tcPr>
            <w:tcW w:w="335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shd w:fill="auto" w:val="clear"/>
              </w:rPr>
              <w:t>Додаткові (необов’язкові) документи</w:t>
            </w:r>
          </w:p>
        </w:tc>
        <w:tc>
          <w:tcPr>
            <w:tcW w:w="66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Style23"/>
              <w:widowControl w:val="false"/>
              <w:tabs>
                <w:tab w:val="clear" w:pos="708"/>
                <w:tab w:val="left" w:pos="397" w:leader="none"/>
              </w:tabs>
              <w:spacing w:before="0" w:after="0"/>
              <w:ind w:hanging="0" w:left="3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заява щодо забезпечення розумним пристосуванням за формою згідно з додатком 3 до Порядку проведення конкурсу на зайняття посад державної служби</w:t>
            </w:r>
          </w:p>
        </w:tc>
      </w:tr>
      <w:tr>
        <w:trPr/>
        <w:tc>
          <w:tcPr>
            <w:tcW w:w="335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Прізвище, ім’я та по батькові, номер телефону та адреса електронної пошти особи, яка надає додаткову інформацію з питань проведення конкурсу</w:t>
            </w:r>
          </w:p>
        </w:tc>
        <w:tc>
          <w:tcPr>
            <w:tcW w:w="66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BodyText"/>
              <w:widowControl w:val="false"/>
              <w:spacing w:lineRule="auto" w:line="240" w:before="0" w:after="0"/>
              <w:ind w:hanging="0" w:left="0" w:right="0"/>
              <w:jc w:val="both"/>
              <w:rPr>
                <w:rFonts w:ascii="Times New Roman" w:hAnsi="Times New Roman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single"/>
                <w:lang w:val="uk-UA"/>
              </w:rPr>
              <w:t>Кальній Світлана Миколаївна,</w:t>
            </w:r>
          </w:p>
          <w:p>
            <w:pPr>
              <w:pStyle w:val="BodyText"/>
              <w:widowControl w:val="false"/>
              <w:spacing w:lineRule="auto" w:line="240" w:before="0" w:after="0"/>
              <w:ind w:hanging="0" w:left="0" w:right="0"/>
              <w:jc w:val="both"/>
              <w:rPr>
                <w:rFonts w:ascii="Times New Roman" w:hAnsi="Times New Roman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single"/>
                <w:lang w:val="uk-UA"/>
              </w:rPr>
              <w:t>096-398-23-32</w:t>
            </w:r>
          </w:p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10020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Кваліфікаційні вимоги</w:t>
            </w:r>
          </w:p>
        </w:tc>
      </w:tr>
      <w:tr>
        <w:trPr/>
        <w:tc>
          <w:tcPr>
            <w:tcW w:w="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1</w:t>
            </w:r>
          </w:p>
        </w:tc>
        <w:tc>
          <w:tcPr>
            <w:tcW w:w="297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Освіта</w:t>
            </w:r>
          </w:p>
        </w:tc>
        <w:tc>
          <w:tcPr>
            <w:tcW w:w="66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 w:left="3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вища, не нижче молодшого бакалавра або бакалавра</w:t>
            </w:r>
          </w:p>
        </w:tc>
      </w:tr>
      <w:tr>
        <w:trPr/>
        <w:tc>
          <w:tcPr>
            <w:tcW w:w="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2</w:t>
            </w:r>
          </w:p>
        </w:tc>
        <w:tc>
          <w:tcPr>
            <w:tcW w:w="297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Досвід роботи</w:t>
            </w:r>
          </w:p>
        </w:tc>
        <w:tc>
          <w:tcPr>
            <w:tcW w:w="66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 w:left="34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 потребує</w:t>
            </w:r>
          </w:p>
        </w:tc>
      </w:tr>
      <w:tr>
        <w:trPr/>
        <w:tc>
          <w:tcPr>
            <w:tcW w:w="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3</w:t>
            </w:r>
          </w:p>
        </w:tc>
        <w:tc>
          <w:tcPr>
            <w:tcW w:w="297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Володіння державною мовою</w:t>
            </w:r>
          </w:p>
        </w:tc>
        <w:tc>
          <w:tcPr>
            <w:tcW w:w="66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 w:left="3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вільне володіння державною мовою</w:t>
            </w:r>
          </w:p>
        </w:tc>
      </w:tr>
      <w:tr>
        <w:trPr/>
        <w:tc>
          <w:tcPr>
            <w:tcW w:w="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4</w:t>
            </w:r>
          </w:p>
        </w:tc>
        <w:tc>
          <w:tcPr>
            <w:tcW w:w="297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Володіння іноземною мовою</w:t>
            </w:r>
          </w:p>
        </w:tc>
        <w:tc>
          <w:tcPr>
            <w:tcW w:w="66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 w:left="118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>
        <w:trPr/>
        <w:tc>
          <w:tcPr>
            <w:tcW w:w="10020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Вимоги до компетентності</w:t>
            </w:r>
          </w:p>
        </w:tc>
      </w:tr>
      <w:tr>
        <w:trPr/>
        <w:tc>
          <w:tcPr>
            <w:tcW w:w="335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Вимога</w:t>
            </w:r>
          </w:p>
        </w:tc>
        <w:tc>
          <w:tcPr>
            <w:tcW w:w="66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Компоненти вимоги</w:t>
            </w:r>
          </w:p>
        </w:tc>
      </w:tr>
      <w:tr>
        <w:trPr>
          <w:trHeight w:val="753" w:hRule="atLeast"/>
        </w:trPr>
        <w:tc>
          <w:tcPr>
            <w:tcW w:w="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1</w:t>
            </w:r>
          </w:p>
        </w:tc>
        <w:tc>
          <w:tcPr>
            <w:tcW w:w="297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Комунікація і взаємодія</w:t>
            </w:r>
          </w:p>
        </w:tc>
        <w:tc>
          <w:tcPr>
            <w:tcW w:w="66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Web"/>
              <w:widowControl w:val="false"/>
              <w:tabs>
                <w:tab w:val="clear" w:pos="708"/>
                <w:tab w:val="left" w:pos="318" w:leader="none"/>
              </w:tabs>
              <w:bidi w:val="0"/>
              <w:spacing w:beforeAutospacing="0" w:before="0" w:afterAutospacing="0"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  <w:shd w:fill="auto" w:val="clear"/>
              </w:rPr>
              <w:t>- уміння встановлювати відкриті, шанобливі стосунки, засновані на довірі та взаєморозумінні;</w:t>
            </w:r>
          </w:p>
          <w:p>
            <w:pPr>
              <w:pStyle w:val="NormalWeb"/>
              <w:widowControl w:val="false"/>
              <w:tabs>
                <w:tab w:val="clear" w:pos="708"/>
                <w:tab w:val="left" w:pos="318" w:leader="none"/>
              </w:tabs>
              <w:bidi w:val="0"/>
              <w:spacing w:beforeAutospacing="0" w:before="0" w:afterAutospacing="0" w:after="0"/>
              <w:ind w:hanging="0" w:left="3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  <w:shd w:fill="auto" w:val="clear"/>
              </w:rPr>
              <w:t>- своєчасно виявляти і попереджати потенційно можливу проблемну ситуацію.</w:t>
            </w:r>
          </w:p>
        </w:tc>
      </w:tr>
      <w:tr>
        <w:trPr/>
        <w:tc>
          <w:tcPr>
            <w:tcW w:w="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2</w:t>
            </w:r>
          </w:p>
        </w:tc>
        <w:tc>
          <w:tcPr>
            <w:tcW w:w="297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Стресостійкість</w:t>
            </w:r>
          </w:p>
        </w:tc>
        <w:tc>
          <w:tcPr>
            <w:tcW w:w="66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 w:left="3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- уміння розуміти та управляти своїми емоціями;</w:t>
            </w:r>
          </w:p>
          <w:p>
            <w:pPr>
              <w:pStyle w:val="Normal"/>
              <w:widowControl w:val="false"/>
              <w:spacing w:lineRule="auto" w:line="240"/>
              <w:ind w:hanging="0" w:left="3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- здатність до самоконтролю;</w:t>
            </w:r>
          </w:p>
          <w:p>
            <w:pPr>
              <w:pStyle w:val="Normal"/>
              <w:widowControl w:val="false"/>
              <w:spacing w:lineRule="auto" w:line="240"/>
              <w:ind w:hanging="0" w:left="3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- здатність до конструктивного ставлення до зворотного зв</w:t>
            </w:r>
            <w:r>
              <w:rPr>
                <w:rFonts w:ascii="Times New Roman" w:hAnsi="Times New Roman"/>
                <w:sz w:val="28"/>
                <w:szCs w:val="28"/>
                <w:shd w:fill="auto" w:val="clear"/>
                <w:lang w:val="ru-RU"/>
              </w:rPr>
              <w:t>’</w:t>
            </w: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язку, зокрема критики;</w:t>
            </w:r>
          </w:p>
          <w:p>
            <w:pPr>
              <w:pStyle w:val="Normal"/>
              <w:widowControl w:val="false"/>
              <w:spacing w:lineRule="auto" w:line="240"/>
              <w:ind w:hanging="0" w:left="3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- оптимізм.</w:t>
            </w:r>
          </w:p>
        </w:tc>
      </w:tr>
      <w:tr>
        <w:trPr/>
        <w:tc>
          <w:tcPr>
            <w:tcW w:w="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3</w:t>
            </w:r>
          </w:p>
        </w:tc>
        <w:tc>
          <w:tcPr>
            <w:tcW w:w="297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Доброчесність</w:t>
            </w:r>
          </w:p>
        </w:tc>
        <w:tc>
          <w:tcPr>
            <w:tcW w:w="66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 w:left="3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- здатність дотримуватися правил етичної поведінки, порядності, чесності, справедливості, підзвітності;</w:t>
            </w:r>
          </w:p>
          <w:p>
            <w:pPr>
              <w:pStyle w:val="Normal"/>
              <w:widowControl w:val="false"/>
              <w:spacing w:lineRule="auto" w:line="240"/>
              <w:ind w:hanging="0" w:left="3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- усвідомлення обмеження у виявленні переваг, прихильності та/або негативного ставлення до окремих фізичних та юридичних осіб, політичних партій, громадських, релігійних та інших організацій.</w:t>
            </w:r>
          </w:p>
        </w:tc>
      </w:tr>
      <w:tr>
        <w:trPr/>
        <w:tc>
          <w:tcPr>
            <w:tcW w:w="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4</w:t>
            </w:r>
          </w:p>
        </w:tc>
        <w:tc>
          <w:tcPr>
            <w:tcW w:w="297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Орієнтація на досягнення результату</w:t>
            </w:r>
          </w:p>
        </w:tc>
        <w:tc>
          <w:tcPr>
            <w:tcW w:w="66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- навички коригування дій з метою підвищення результативності;</w:t>
            </w:r>
          </w:p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- уміння зберігати високу працездатність в екстремальних умовах;</w:t>
            </w:r>
          </w:p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- уміння визначати цілі, пріоритети.</w:t>
            </w:r>
          </w:p>
        </w:tc>
      </w:tr>
      <w:tr>
        <w:trPr/>
        <w:tc>
          <w:tcPr>
            <w:tcW w:w="3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5</w:t>
            </w:r>
          </w:p>
        </w:tc>
        <w:tc>
          <w:tcPr>
            <w:tcW w:w="297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Цифрова грамотність</w:t>
            </w:r>
          </w:p>
        </w:tc>
        <w:tc>
          <w:tcPr>
            <w:tcW w:w="66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 w:left="2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- вміння використовувати комп’ютерні пристрої, базове офісне та спеціалізоване програмне забезпечення для ефективного виконання своїх посадових обов’язків;</w:t>
            </w:r>
          </w:p>
          <w:p>
            <w:pPr>
              <w:pStyle w:val="Normal"/>
              <w:widowControl w:val="false"/>
              <w:spacing w:lineRule="auto" w:line="240"/>
              <w:ind w:hanging="0" w:left="2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- здат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fill="auto" w:val="clear"/>
              </w:rPr>
              <w:t>ність мати базові по</w:t>
            </w: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няття про будову та принципи роботи комп’ютерних мереж;</w:t>
            </w:r>
          </w:p>
          <w:p>
            <w:pPr>
              <w:pStyle w:val="Normal"/>
              <w:widowControl w:val="false"/>
              <w:spacing w:lineRule="auto" w:line="240"/>
              <w:ind w:hanging="0" w:left="2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- здатність працювати з документами в різних цифрових форматах; зберігати, накопичувати, впорядковувати, архівувати цифрові ресурси та дані різних типів;</w:t>
            </w:r>
          </w:p>
          <w:p>
            <w:pPr>
              <w:pStyle w:val="Normal"/>
              <w:widowControl w:val="false"/>
              <w:spacing w:lineRule="auto" w:line="240"/>
              <w:ind w:hanging="0" w:left="2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- здатність уникати небезпек в цифровому середовищі, захищати особисті та конфіденційні дані;</w:t>
            </w:r>
          </w:p>
          <w:p>
            <w:pPr>
              <w:pStyle w:val="Normal"/>
              <w:widowControl w:val="false"/>
              <w:spacing w:lineRule="auto" w:line="240"/>
              <w:ind w:hanging="0" w:left="2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- вміння використовувати електронні реєстри, системи електронного документообігу, вміти користуватись кваліфікованим електронним підписом (КЕП);</w:t>
            </w:r>
          </w:p>
          <w:p>
            <w:pPr>
              <w:pStyle w:val="Normal"/>
              <w:widowControl w:val="false"/>
              <w:spacing w:lineRule="auto" w:line="240"/>
              <w:ind w:hanging="0" w:left="2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- здатність використовувати відкриті цифрові ресурси для власного професійного розвитку.</w:t>
            </w:r>
          </w:p>
        </w:tc>
      </w:tr>
      <w:tr>
        <w:trPr/>
        <w:tc>
          <w:tcPr>
            <w:tcW w:w="10020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Професійні знання</w:t>
            </w:r>
          </w:p>
        </w:tc>
      </w:tr>
      <w:tr>
        <w:trPr>
          <w:trHeight w:val="412" w:hRule="atLeast"/>
        </w:trPr>
        <w:tc>
          <w:tcPr>
            <w:tcW w:w="335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Вимога</w:t>
            </w:r>
          </w:p>
        </w:tc>
        <w:tc>
          <w:tcPr>
            <w:tcW w:w="66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Компоненти вимоги</w:t>
            </w:r>
          </w:p>
        </w:tc>
      </w:tr>
      <w:tr>
        <w:trPr>
          <w:trHeight w:val="1124" w:hRule="atLeast"/>
        </w:trPr>
        <w:tc>
          <w:tcPr>
            <w:tcW w:w="6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1</w:t>
            </w:r>
          </w:p>
        </w:tc>
        <w:tc>
          <w:tcPr>
            <w:tcW w:w="266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Знання законодавства</w:t>
            </w:r>
          </w:p>
        </w:tc>
        <w:tc>
          <w:tcPr>
            <w:tcW w:w="66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Знання:</w:t>
            </w:r>
          </w:p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Конституції України;</w:t>
            </w:r>
          </w:p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Закону України “Про державну службу”</w:t>
            </w:r>
            <w:r>
              <w:rPr>
                <w:rFonts w:ascii="Times New Roman" w:hAnsi="Times New Roman"/>
                <w:sz w:val="28"/>
                <w:szCs w:val="28"/>
                <w:shd w:fill="auto" w:val="clear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shd w:fill="auto" w:val="clear"/>
                <w:lang w:val="uk-UA"/>
              </w:rPr>
              <w:t>від 10 грудня 2015 року № 889-</w:t>
            </w:r>
            <w:r>
              <w:rPr>
                <w:rFonts w:ascii="Times New Roman" w:hAnsi="Times New Roman"/>
                <w:sz w:val="28"/>
                <w:szCs w:val="28"/>
                <w:shd w:fill="auto" w:val="clear"/>
                <w:lang w:val="en-US"/>
              </w:rPr>
              <w:t xml:space="preserve">VIII </w:t>
            </w: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(зі змінами);</w:t>
            </w:r>
          </w:p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Закону України “Про запобігання корупції”</w:t>
            </w:r>
            <w:r>
              <w:rPr>
                <w:rFonts w:ascii="Times New Roman" w:hAnsi="Times New Roman"/>
                <w:sz w:val="28"/>
                <w:szCs w:val="28"/>
                <w:shd w:fill="auto" w:val="clear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shd w:fill="auto" w:val="clear"/>
                <w:lang w:val="uk-UA"/>
              </w:rPr>
              <w:t>від 14 жовтня 2014 року № 1700-</w:t>
            </w:r>
            <w:r>
              <w:rPr>
                <w:rFonts w:ascii="Times New Roman" w:hAnsi="Times New Roman"/>
                <w:sz w:val="28"/>
                <w:szCs w:val="28"/>
                <w:shd w:fill="auto" w:val="clear"/>
                <w:lang w:val="en-US"/>
              </w:rPr>
              <w:t xml:space="preserve">VII </w:t>
            </w: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(зі змінами) та іншого законодавства.</w:t>
            </w:r>
          </w:p>
        </w:tc>
      </w:tr>
      <w:tr>
        <w:trPr>
          <w:trHeight w:val="1124" w:hRule="atLeast"/>
        </w:trPr>
        <w:tc>
          <w:tcPr>
            <w:tcW w:w="6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2</w:t>
            </w:r>
          </w:p>
        </w:tc>
        <w:tc>
          <w:tcPr>
            <w:tcW w:w="266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Знання законодавства у сфері</w:t>
            </w:r>
          </w:p>
        </w:tc>
        <w:tc>
          <w:tcPr>
            <w:tcW w:w="66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ListParagraph"/>
              <w:widowControl w:val="false"/>
              <w:tabs>
                <w:tab w:val="clear" w:pos="708"/>
                <w:tab w:val="left" w:pos="0" w:leader="none"/>
              </w:tabs>
              <w:spacing w:lineRule="auto" w:line="240"/>
              <w:ind w:hanging="249" w:left="28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Знання: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0" w:leader="none"/>
              </w:tabs>
              <w:suppressAutoHyphens w:val="true"/>
              <w:bidi w:val="0"/>
              <w:spacing w:lineRule="auto" w:line="240" w:before="0" w:after="0"/>
              <w:ind w:hanging="0" w:left="0" w:right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 xml:space="preserve">Положення про Пенсійний фонд України затвердженого Постановою Кабінету Міністрів України від 23 липня 2014 року №280 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A"/>
                <w:spacing w:val="0"/>
                <w:sz w:val="28"/>
                <w:szCs w:val="28"/>
                <w:shd w:fill="auto" w:val="clear"/>
              </w:rPr>
              <w:t>(зі змінами)</w:t>
            </w: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;</w:t>
            </w:r>
          </w:p>
          <w:p>
            <w:pPr>
              <w:pStyle w:val="ListParagraph"/>
              <w:widowControl w:val="false"/>
              <w:tabs>
                <w:tab w:val="clear" w:pos="708"/>
                <w:tab w:val="left" w:pos="0" w:leader="none"/>
              </w:tabs>
              <w:suppressAutoHyphens w:val="true"/>
              <w:bidi w:val="0"/>
              <w:spacing w:lineRule="auto" w:line="240" w:before="0" w:after="0"/>
              <w:ind w:hanging="0" w:left="0" w:right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A"/>
                <w:spacing w:val="0"/>
                <w:sz w:val="28"/>
                <w:szCs w:val="28"/>
                <w:shd w:fill="auto" w:val="clear"/>
              </w:rPr>
              <w:t>Закону України “Про загальнообов’язкове державне пенсійне страхування” від 09 липня 2003 року   № 1058-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A"/>
                <w:spacing w:val="0"/>
                <w:sz w:val="28"/>
                <w:szCs w:val="28"/>
                <w:shd w:fill="auto" w:val="clear"/>
                <w:lang w:val="en-US"/>
              </w:rPr>
              <w:t>IV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A"/>
                <w:spacing w:val="0"/>
                <w:sz w:val="28"/>
                <w:szCs w:val="28"/>
                <w:shd w:fill="auto" w:val="clear"/>
              </w:rPr>
              <w:t xml:space="preserve"> (зі змінами);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0" w:leader="none"/>
              </w:tabs>
              <w:suppressAutoHyphens w:val="true"/>
              <w:bidi w:val="0"/>
              <w:spacing w:lineRule="auto" w:line="240" w:before="0" w:after="0"/>
              <w:ind w:hanging="0" w:left="0" w:righ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shd w:fill="auto" w:val="clear"/>
                <w:lang w:val="uk-UA"/>
              </w:rPr>
              <w:t xml:space="preserve">Закону України “Про електронні документи та електронний документообіг”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shd w:fill="auto" w:val="clear"/>
                <w:lang w:val="en-US"/>
              </w:rPr>
              <w:t>ві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shd w:fill="auto" w:val="clear"/>
                <w:lang w:val="uk-UA"/>
              </w:rPr>
              <w:t>д 22 травня 2003 року № 851-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shd w:fill="auto" w:val="clear"/>
                <w:lang w:val="en-US"/>
              </w:rPr>
              <w:t>I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shd w:fill="auto" w:val="clear"/>
                <w:lang w:val="uk-UA"/>
              </w:rPr>
              <w:t>V (зі змінами)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shd w:fill="auto" w:val="clear"/>
                <w:lang w:val="en-US"/>
              </w:rPr>
              <w:t>.</w:t>
            </w:r>
          </w:p>
        </w:tc>
      </w:tr>
      <w:tr>
        <w:trPr>
          <w:trHeight w:val="448" w:hRule="atLeast"/>
        </w:trPr>
        <w:tc>
          <w:tcPr>
            <w:tcW w:w="6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3</w:t>
            </w:r>
          </w:p>
        </w:tc>
        <w:tc>
          <w:tcPr>
            <w:tcW w:w="266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 xml:space="preserve">Знання законодавства з </w:t>
            </w:r>
            <w:r>
              <w:rPr>
                <w:rFonts w:ascii="Times New Roman" w:hAnsi="Times New Roman"/>
                <w:sz w:val="28"/>
                <w:szCs w:val="28"/>
                <w:shd w:fill="auto" w:val="clear"/>
                <w:lang w:eastAsia="zh-CN"/>
              </w:rPr>
              <w:t xml:space="preserve"> питань інформаційної безпеки та кіберзахисту</w:t>
            </w:r>
          </w:p>
        </w:tc>
        <w:tc>
          <w:tcPr>
            <w:tcW w:w="66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Знання:</w:t>
            </w:r>
          </w:p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 xml:space="preserve">Закону України “Про інформацію” від </w:t>
            </w:r>
            <w:r>
              <w:rPr>
                <w:rFonts w:ascii="Times New Roman" w:hAnsi="Times New Roman"/>
                <w:sz w:val="28"/>
                <w:szCs w:val="28"/>
                <w:shd w:fill="auto" w:val="clear"/>
                <w:lang w:val="en-US"/>
              </w:rPr>
              <w:t xml:space="preserve">02 </w:t>
            </w:r>
            <w:r>
              <w:rPr>
                <w:rFonts w:ascii="Times New Roman" w:hAnsi="Times New Roman"/>
                <w:sz w:val="28"/>
                <w:szCs w:val="28"/>
                <w:shd w:fill="auto" w:val="clear"/>
                <w:lang w:val="uk-UA"/>
              </w:rPr>
              <w:t xml:space="preserve">жовтня </w:t>
            </w:r>
            <w:r>
              <w:rPr>
                <w:rFonts w:ascii="Times New Roman" w:hAnsi="Times New Roman"/>
                <w:sz w:val="28"/>
                <w:szCs w:val="28"/>
                <w:shd w:fill="auto" w:val="clear"/>
                <w:lang w:val="en-US"/>
              </w:rPr>
              <w:t>19</w:t>
            </w: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92 року № 2657-ХІІ (зі змінами);</w:t>
            </w:r>
          </w:p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Закону України “Про захист інформації в інформаційно-телекомунікаційних системах” від 05</w:t>
            </w:r>
            <w:r>
              <w:rPr>
                <w:rFonts w:ascii="Times New Roman" w:hAnsi="Times New Roman"/>
                <w:sz w:val="28"/>
                <w:szCs w:val="28"/>
                <w:shd w:fill="auto" w:val="clear"/>
                <w:lang w:val="en-US"/>
              </w:rPr>
              <w:t> </w:t>
            </w:r>
            <w:r>
              <w:rPr>
                <w:rFonts w:ascii="Times New Roman" w:hAnsi="Times New Roman"/>
                <w:sz w:val="28"/>
                <w:szCs w:val="28"/>
                <w:shd w:fill="auto" w:val="clear"/>
                <w:lang w:val="uk-UA"/>
              </w:rPr>
              <w:t xml:space="preserve">липня </w:t>
            </w: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1994 року № 80/94-ВР (зі змінами);</w:t>
            </w:r>
          </w:p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 xml:space="preserve">Закону України </w:t>
            </w:r>
            <w:r>
              <w:rPr>
                <w:rFonts w:eastAsia="Calibri" w:cs="Times New Roman" w:ascii="Times New Roman" w:hAnsi="Times New Roman"/>
                <w:sz w:val="28"/>
                <w:szCs w:val="28"/>
                <w:shd w:fill="auto" w:val="clear"/>
              </w:rPr>
              <w:t>“</w:t>
            </w: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Про захист персональних даних”</w:t>
            </w:r>
            <w:r>
              <w:rPr>
                <w:rFonts w:eastAsia="Calibri" w:cs="Times New Roman" w:ascii="Times New Roman" w:hAnsi="Times New Roman"/>
                <w:sz w:val="28"/>
                <w:szCs w:val="28"/>
                <w:shd w:fill="auto" w:val="clear"/>
              </w:rPr>
              <w:t xml:space="preserve"> від 01</w:t>
            </w:r>
            <w:r>
              <w:rPr>
                <w:rFonts w:eastAsia="Calibri" w:cs="Times New Roman" w:ascii="Times New Roman" w:hAnsi="Times New Roman"/>
                <w:sz w:val="28"/>
                <w:szCs w:val="28"/>
                <w:shd w:fill="auto" w:val="clear"/>
                <w:lang w:val="en-US"/>
              </w:rPr>
              <w:t xml:space="preserve"> </w:t>
            </w:r>
            <w:r>
              <w:rPr>
                <w:rFonts w:eastAsia="Calibri" w:cs="Times New Roman" w:ascii="Times New Roman" w:hAnsi="Times New Roman"/>
                <w:sz w:val="28"/>
                <w:szCs w:val="28"/>
                <w:shd w:fill="auto" w:val="clear"/>
                <w:lang w:val="uk-UA"/>
              </w:rPr>
              <w:t xml:space="preserve">червня </w:t>
            </w:r>
            <w:r>
              <w:rPr>
                <w:rFonts w:eastAsia="Calibri" w:cs="Times New Roman" w:ascii="Times New Roman" w:hAnsi="Times New Roman"/>
                <w:sz w:val="28"/>
                <w:szCs w:val="28"/>
                <w:shd w:fill="auto" w:val="clear"/>
              </w:rPr>
              <w:t>2010 року</w:t>
            </w: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 xml:space="preserve"> № 2297-VI (зі змінами);</w:t>
            </w:r>
          </w:p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shd w:fill="auto" w:val="clear"/>
                <w:lang w:val="uk-UA"/>
              </w:rPr>
              <w:t>Закону України “Про електронну ідентифікацію та електронні довірчі послуги” від 05 жовтня 2017 року № 2155-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shd w:fill="auto" w:val="clear"/>
                <w:lang w:val="en-US"/>
              </w:rPr>
              <w:t xml:space="preserve">VIII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shd w:fill="auto" w:val="clear"/>
                <w:lang w:val="uk-UA"/>
              </w:rPr>
              <w:t>(зі змінами);</w:t>
            </w:r>
          </w:p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shd w:fill="auto" w:val="clear"/>
                <w:lang w:val="uk-UA"/>
              </w:rPr>
              <w:t>Закону України “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shd w:fill="auto" w:val="clear"/>
                <w:lang w:val="en-US"/>
              </w:rPr>
              <w:t>Про основні засади забезпечення кібербезпеки України”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shd w:fill="auto" w:val="clear"/>
                <w:lang w:val="uk-UA"/>
              </w:rPr>
              <w:t xml:space="preserve"> від 05 жовтня 2017 року № 2163-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shd w:fill="auto" w:val="clear"/>
                <w:lang w:val="en-US"/>
              </w:rPr>
              <w:t xml:space="preserve">VIII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  <w:shd w:fill="auto" w:val="clear"/>
                <w:lang w:val="uk-UA"/>
              </w:rPr>
              <w:t>(зі змінами);</w:t>
            </w:r>
          </w:p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Регламенту роботи інформаційно-комунікаційної системи Пенсійного фонду України затвердженої Постановою правління ПФУ від 11 жовтня 2021 року №28-1 (у редакції Постанови правління ПФУ від 19 жовтня 2022 року №19-1);</w:t>
            </w:r>
          </w:p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Постанови Кабінету Міністрів України “Деякі питання електронної ідентифікації та електронних довірчих послуг” від 28 червня 2024 року № 764;</w:t>
            </w:r>
          </w:p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правил забезпечення захисту інформації в інформаційних, телекомунікаційних та інформаційно-телекомунікаційних системах, затверджених постановою Кабінету Міністрів України від 29 березня 2006 року № 373 та вимог нормативного документу технічного захисту інформації (далі - НД ТЗІ) НД ТЗІ 1.4-001-2000;</w:t>
            </w:r>
          </w:p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інформаційно-телекомунікаційної системи Пенсійного фонду України;</w:t>
            </w:r>
          </w:p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комплексної системи захисту інформації;</w:t>
            </w:r>
          </w:p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 xml:space="preserve">технічного завдання (Шифр </w:t>
            </w:r>
            <w:r>
              <w:rPr>
                <w:rFonts w:eastAsia="Calibri" w:cs="Times New Roman" w:ascii="Times New Roman" w:hAnsi="Times New Roman"/>
                <w:sz w:val="28"/>
                <w:szCs w:val="28"/>
                <w:shd w:fill="auto" w:val="clear"/>
              </w:rPr>
              <w:t>“</w:t>
            </w: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КСЗІ ІТС ПФУ</w:t>
            </w:r>
            <w:r>
              <w:rPr>
                <w:rFonts w:eastAsia="Calibri" w:cs="Times New Roman" w:ascii="Times New Roman" w:hAnsi="Times New Roman"/>
                <w:sz w:val="28"/>
                <w:szCs w:val="28"/>
                <w:shd w:fill="auto" w:val="clear"/>
              </w:rPr>
              <w:t>”</w:t>
            </w: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 xml:space="preserve"> 39996917.468244.031.ТЗ.01.М;</w:t>
            </w:r>
          </w:p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 xml:space="preserve">технічного завдання на організаційно-технічне рішення для комплексної системи захисту інформації автоматизованої системи оцифрування архівів пенсійних справ та зберігання електронних документів (шифр </w:t>
            </w:r>
            <w:r>
              <w:rPr>
                <w:rFonts w:eastAsia="Calibri" w:cs="Times New Roman" w:ascii="Times New Roman" w:hAnsi="Times New Roman"/>
                <w:sz w:val="28"/>
                <w:szCs w:val="28"/>
                <w:shd w:fill="auto" w:val="clear"/>
              </w:rPr>
              <w:t>“</w:t>
            </w: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>ОТР КСЗІ АС ОАПСЗЕД</w:t>
            </w:r>
            <w:r>
              <w:rPr>
                <w:rFonts w:eastAsia="Calibri" w:cs="Times New Roman" w:ascii="Times New Roman" w:hAnsi="Times New Roman"/>
                <w:sz w:val="28"/>
                <w:szCs w:val="28"/>
                <w:shd w:fill="auto" w:val="clear"/>
              </w:rPr>
              <w:t>”</w:t>
            </w:r>
            <w:r>
              <w:rPr>
                <w:rFonts w:ascii="Times New Roman" w:hAnsi="Times New Roman"/>
                <w:sz w:val="28"/>
                <w:szCs w:val="28"/>
                <w:shd w:fill="auto" w:val="clear"/>
              </w:rPr>
              <w:t xml:space="preserve"> 39996917.468244.27.ТЗ.01.М.</w:t>
            </w:r>
          </w:p>
        </w:tc>
      </w:tr>
    </w:tbl>
    <w:p>
      <w:pPr>
        <w:pStyle w:val="Normal"/>
        <w:pBdr>
          <w:bottom w:val="single" w:sz="12" w:space="1" w:color="000001"/>
        </w:pBdr>
        <w:tabs>
          <w:tab w:val="clear" w:pos="708"/>
          <w:tab w:val="left" w:pos="1545" w:leader="none"/>
        </w:tabs>
        <w:spacing w:lineRule="auto" w:line="240"/>
        <w:ind w:hanging="0"/>
        <w:jc w:val="left"/>
        <w:rPr/>
      </w:pPr>
      <w:r>
        <w:rPr/>
      </w:r>
    </w:p>
    <w:sectPr>
      <w:headerReference w:type="default" r:id="rId2"/>
      <w:type w:val="nextPage"/>
      <w:pgSz w:w="11906" w:h="16838"/>
      <w:pgMar w:left="1701" w:right="566" w:gutter="0" w:header="708" w:top="765" w:footer="0" w:bottom="709"/>
      <w:pgNumType w:start="1"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ntiqu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1842810982"/>
    </w:sdtPr>
    <w:sdtContent>
      <w:p>
        <w:pPr>
          <w:pStyle w:val="Header"/>
          <w:jc w:val="left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5</w:t>
        </w:r>
        <w:r>
          <w:rPr/>
          <w:fldChar w:fldCharType="end"/>
        </w:r>
      </w:p>
    </w:sdtContent>
  </w:sdt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8"/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page number" w:uiPriority="0"/>
    <w:lsdException w:name="Title" w:locked="1" w:uiPriority="0" w:semiHidden="0" w:unhideWhenUsed="0" w:qFormat="1"/>
    <w:lsdException w:name="Default Paragraph Font" w:locked="1" w:uiPriority="0" w:semiHidden="0" w:unhideWhenUsed="0"/>
    <w:lsdException w:name="Body Text" w:locked="1" w:uiPriority="0" w:semiHidden="0" w:unhideWhenUsed="0"/>
    <w:lsdException w:name="Subtitle" w:locked="1" w:uiPriority="0" w:semiHidden="0" w:unhideWhenUsed="0" w:qFormat="1"/>
    <w:lsdException w:name="Body Text 2" w:locked="1" w:uiPriority="0" w:semiHidden="0" w:unhideWhenUsed="0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c044f"/>
    <w:pPr>
      <w:widowControl/>
      <w:suppressAutoHyphens w:val="true"/>
      <w:bidi w:val="0"/>
      <w:spacing w:lineRule="auto" w:line="276" w:before="0" w:after="0"/>
      <w:ind w:firstLine="4536"/>
      <w:jc w:val="right"/>
    </w:pPr>
    <w:rPr>
      <w:rFonts w:ascii="Calibri" w:hAnsi="Calibri" w:eastAsia="Calibri" w:cs="Times New Roman"/>
      <w:color w:val="00000A"/>
      <w:kern w:val="0"/>
      <w:sz w:val="22"/>
      <w:szCs w:val="22"/>
      <w:lang w:val="uk-UA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Основной текст Знак"/>
    <w:semiHidden/>
    <w:qFormat/>
    <w:locked/>
    <w:rsid w:val="002f584e"/>
    <w:rPr>
      <w:rFonts w:ascii="Times New Roman" w:hAnsi="Times New Roman" w:cs="Times New Roman"/>
      <w:sz w:val="20"/>
      <w:szCs w:val="20"/>
      <w:lang w:val="uk-UA"/>
    </w:rPr>
  </w:style>
  <w:style w:type="character" w:styleId="Apple-converted-space" w:customStyle="1">
    <w:name w:val="apple-converted-space"/>
    <w:uiPriority w:val="99"/>
    <w:qFormat/>
    <w:rsid w:val="0029122c"/>
    <w:rPr/>
  </w:style>
  <w:style w:type="character" w:styleId="Style15" w:customStyle="1">
    <w:name w:val="Основной текст с отступом Знак"/>
    <w:uiPriority w:val="99"/>
    <w:qFormat/>
    <w:locked/>
    <w:rsid w:val="00b00e55"/>
    <w:rPr>
      <w:rFonts w:cs="Times New Roman"/>
      <w:lang w:val="uk-UA"/>
    </w:rPr>
  </w:style>
  <w:style w:type="character" w:styleId="Style16" w:customStyle="1">
    <w:name w:val="Текст выноски Знак"/>
    <w:uiPriority w:val="99"/>
    <w:semiHidden/>
    <w:qFormat/>
    <w:locked/>
    <w:rsid w:val="00632d6f"/>
    <w:rPr>
      <w:rFonts w:ascii="Tahoma" w:hAnsi="Tahoma" w:cs="Tahoma"/>
      <w:sz w:val="16"/>
      <w:szCs w:val="16"/>
      <w:lang w:val="uk-UA"/>
    </w:rPr>
  </w:style>
  <w:style w:type="character" w:styleId="3" w:customStyle="1">
    <w:name w:val="Основной текст с отступом 3 Знак"/>
    <w:uiPriority w:val="99"/>
    <w:qFormat/>
    <w:locked/>
    <w:rsid w:val="00c50a7c"/>
    <w:rPr>
      <w:rFonts w:ascii="Times New Roman" w:hAnsi="Times New Roman" w:cs="Times New Roman"/>
      <w:sz w:val="16"/>
      <w:szCs w:val="16"/>
      <w:lang w:val="uk-UA" w:eastAsia="uk-UA"/>
    </w:rPr>
  </w:style>
  <w:style w:type="character" w:styleId="2" w:customStyle="1">
    <w:name w:val="Основной текст 2 Знак"/>
    <w:uiPriority w:val="99"/>
    <w:qFormat/>
    <w:locked/>
    <w:rsid w:val="00c50a7c"/>
    <w:rPr>
      <w:rFonts w:ascii="Times New Roman" w:hAnsi="Times New Roman" w:cs="Times New Roman"/>
      <w:sz w:val="24"/>
      <w:szCs w:val="24"/>
      <w:lang w:eastAsia="ru-RU"/>
    </w:rPr>
  </w:style>
  <w:style w:type="character" w:styleId="4" w:customStyle="1">
    <w:name w:val="Основной текст (4) + Не курсив"/>
    <w:qFormat/>
    <w:rsid w:val="008f67dd"/>
    <w:rPr>
      <w:rFonts w:ascii="Times New Roman" w:hAnsi="Times New Roman" w:cs="Times New Roman"/>
      <w:i/>
      <w:iCs/>
      <w:spacing w:val="4"/>
      <w:u w:val="none"/>
    </w:rPr>
  </w:style>
  <w:style w:type="character" w:styleId="Pagenumber">
    <w:name w:val="page number"/>
    <w:basedOn w:val="DefaultParagraphFont"/>
    <w:qFormat/>
    <w:rsid w:val="00a15fec"/>
    <w:rPr/>
  </w:style>
  <w:style w:type="character" w:styleId="FontStyle15" w:customStyle="1">
    <w:name w:val="Font Style15"/>
    <w:qFormat/>
    <w:rsid w:val="00563955"/>
    <w:rPr>
      <w:rFonts w:ascii="Times New Roman" w:hAnsi="Times New Roman" w:cs="Times New Roman"/>
      <w:sz w:val="24"/>
      <w:szCs w:val="24"/>
    </w:rPr>
  </w:style>
  <w:style w:type="character" w:styleId="FontStyle18" w:customStyle="1">
    <w:name w:val="Font Style18"/>
    <w:qFormat/>
    <w:rsid w:val="00462ab3"/>
    <w:rPr>
      <w:rFonts w:ascii="Times New Roman" w:hAnsi="Times New Roman" w:cs="Times New Roman"/>
      <w:sz w:val="26"/>
      <w:szCs w:val="26"/>
    </w:rPr>
  </w:style>
  <w:style w:type="character" w:styleId="FontStyle13" w:customStyle="1">
    <w:name w:val="Font Style13"/>
    <w:qFormat/>
    <w:rsid w:val="0079037d"/>
    <w:rPr>
      <w:rFonts w:ascii="Times New Roman" w:hAnsi="Times New Roman" w:cs="Times New Roman"/>
      <w:sz w:val="26"/>
      <w:szCs w:val="26"/>
    </w:rPr>
  </w:style>
  <w:style w:type="character" w:styleId="FontStyle21" w:customStyle="1">
    <w:name w:val="Font Style21"/>
    <w:qFormat/>
    <w:rsid w:val="0079037d"/>
    <w:rPr>
      <w:rFonts w:ascii="Times New Roman" w:hAnsi="Times New Roman" w:cs="Times New Roman"/>
      <w:sz w:val="26"/>
      <w:szCs w:val="26"/>
    </w:rPr>
  </w:style>
  <w:style w:type="character" w:styleId="Csd2c743de" w:customStyle="1">
    <w:name w:val="csd2c743de"/>
    <w:basedOn w:val="DefaultParagraphFont"/>
    <w:qFormat/>
    <w:rsid w:val="00b755a6"/>
    <w:rPr/>
  </w:style>
  <w:style w:type="character" w:styleId="Style17" w:customStyle="1">
    <w:name w:val="Верхний колонтитул Знак"/>
    <w:basedOn w:val="DefaultParagraphFont"/>
    <w:uiPriority w:val="99"/>
    <w:qFormat/>
    <w:rsid w:val="00015191"/>
    <w:rPr>
      <w:sz w:val="22"/>
      <w:szCs w:val="22"/>
      <w:lang w:val="uk-UA"/>
    </w:rPr>
  </w:style>
  <w:style w:type="character" w:styleId="Style18" w:customStyle="1">
    <w:name w:val="Нижний колонтитул Знак"/>
    <w:basedOn w:val="DefaultParagraphFont"/>
    <w:uiPriority w:val="99"/>
    <w:qFormat/>
    <w:rsid w:val="00015191"/>
    <w:rPr>
      <w:sz w:val="22"/>
      <w:szCs w:val="22"/>
      <w:lang w:val="uk-UA"/>
    </w:rPr>
  </w:style>
  <w:style w:type="paragraph" w:styleId="Style19" w:customStyle="1">
    <w:name w:val="Заголовок"/>
    <w:basedOn w:val="Normal"/>
    <w:next w:val="BodyText"/>
    <w:qFormat/>
    <w:rsid w:val="00c16b96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semiHidden/>
    <w:rsid w:val="002f584e"/>
    <w:pPr>
      <w:spacing w:lineRule="auto" w:line="240"/>
      <w:ind w:hanging="0"/>
      <w:jc w:val="center"/>
    </w:pPr>
    <w:rPr>
      <w:rFonts w:ascii="Times New Roman" w:hAnsi="Times New Roman" w:eastAsia="Times New Roman"/>
      <w:sz w:val="28"/>
      <w:szCs w:val="20"/>
    </w:rPr>
  </w:style>
  <w:style w:type="paragraph" w:styleId="List">
    <w:name w:val="List"/>
    <w:basedOn w:val="BodyText"/>
    <w:rsid w:val="00c16b96"/>
    <w:pPr/>
    <w:rPr>
      <w:rFonts w:cs="Lucida Sans"/>
    </w:rPr>
  </w:style>
  <w:style w:type="paragraph" w:styleId="Caption" w:customStyle="1">
    <w:name w:val="Caption"/>
    <w:basedOn w:val="Normal"/>
    <w:qFormat/>
    <w:rsid w:val="00c16b9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0" w:customStyle="1">
    <w:name w:val="Покажчик"/>
    <w:basedOn w:val="Normal"/>
    <w:qFormat/>
    <w:rsid w:val="00c16b96"/>
    <w:pPr>
      <w:suppressLineNumbers/>
    </w:pPr>
    <w:rPr>
      <w:rFonts w:cs="Lucida Sans"/>
    </w:rPr>
  </w:style>
  <w:style w:type="paragraph" w:styleId="Style21">
    <w:name w:val="Указатель"/>
    <w:basedOn w:val="Normal"/>
    <w:qFormat/>
    <w:pPr>
      <w:suppressLineNumbers/>
    </w:pPr>
    <w:rPr>
      <w:rFonts w:cs="Mangal"/>
      <w:lang w:val="zxx" w:eastAsia="zxx" w:bidi="zxx"/>
    </w:rPr>
  </w:style>
  <w:style w:type="paragraph" w:styleId="ListParagraph">
    <w:name w:val="List Paragraph"/>
    <w:basedOn w:val="Normal"/>
    <w:uiPriority w:val="34"/>
    <w:qFormat/>
    <w:rsid w:val="00ce7ba3"/>
    <w:pPr>
      <w:spacing w:before="0" w:after="0"/>
      <w:ind w:firstLine="4536" w:left="720"/>
      <w:contextualSpacing/>
    </w:pPr>
    <w:rPr/>
  </w:style>
  <w:style w:type="paragraph" w:styleId="BodyTextIndent">
    <w:name w:val="Body Text Indent"/>
    <w:basedOn w:val="Normal"/>
    <w:uiPriority w:val="99"/>
    <w:rsid w:val="00b00e55"/>
    <w:pPr>
      <w:spacing w:before="0" w:after="120"/>
      <w:ind w:firstLine="4536" w:left="283"/>
    </w:pPr>
    <w:rPr/>
  </w:style>
  <w:style w:type="paragraph" w:styleId="BalloonText">
    <w:name w:val="Balloon Text"/>
    <w:basedOn w:val="Normal"/>
    <w:uiPriority w:val="99"/>
    <w:semiHidden/>
    <w:qFormat/>
    <w:rsid w:val="00632d6f"/>
    <w:pPr>
      <w:spacing w:lineRule="auto" w:line="240"/>
    </w:pPr>
    <w:rPr>
      <w:rFonts w:ascii="Tahoma" w:hAnsi="Tahoma" w:cs="Tahoma"/>
      <w:sz w:val="16"/>
      <w:szCs w:val="16"/>
    </w:rPr>
  </w:style>
  <w:style w:type="paragraph" w:styleId="Style22" w:customStyle="1">
    <w:name w:val="Вміст таблиці"/>
    <w:basedOn w:val="Normal"/>
    <w:uiPriority w:val="99"/>
    <w:qFormat/>
    <w:rsid w:val="002e28f9"/>
    <w:pPr>
      <w:widowControl w:val="false"/>
      <w:suppressLineNumbers/>
      <w:spacing w:lineRule="auto" w:line="240"/>
      <w:ind w:hanging="0"/>
      <w:jc w:val="left"/>
    </w:pPr>
    <w:rPr>
      <w:rFonts w:ascii="Times New Roman" w:hAnsi="Times New Roman" w:cs="Arial Unicode MS"/>
      <w:kern w:val="2"/>
      <w:sz w:val="24"/>
      <w:szCs w:val="24"/>
      <w:lang w:eastAsia="hi-IN" w:bidi="hi-IN"/>
    </w:rPr>
  </w:style>
  <w:style w:type="paragraph" w:styleId="Rvps12" w:customStyle="1">
    <w:name w:val="rvps12"/>
    <w:basedOn w:val="Normal"/>
    <w:uiPriority w:val="99"/>
    <w:qFormat/>
    <w:rsid w:val="00a054da"/>
    <w:pPr>
      <w:spacing w:lineRule="auto" w:line="240" w:beforeAutospacing="1" w:afterAutospacing="1"/>
      <w:ind w:hanging="0"/>
      <w:jc w:val="left"/>
    </w:pPr>
    <w:rPr>
      <w:rFonts w:ascii="Times New Roman" w:hAnsi="Times New Roman" w:eastAsia="Times New Roman"/>
      <w:sz w:val="24"/>
      <w:szCs w:val="24"/>
      <w:lang w:val="ru-RU" w:eastAsia="ru-RU"/>
    </w:rPr>
  </w:style>
  <w:style w:type="paragraph" w:styleId="BodyTextIndent3">
    <w:name w:val="Body Text Indent 3"/>
    <w:basedOn w:val="Normal"/>
    <w:link w:val="3"/>
    <w:uiPriority w:val="99"/>
    <w:qFormat/>
    <w:rsid w:val="00c50a7c"/>
    <w:pPr>
      <w:spacing w:lineRule="auto" w:line="240" w:before="0" w:after="120"/>
      <w:ind w:hanging="0" w:left="283"/>
      <w:jc w:val="left"/>
    </w:pPr>
    <w:rPr>
      <w:rFonts w:ascii="Times New Roman" w:hAnsi="Times New Roman" w:eastAsia="Times New Roman"/>
      <w:sz w:val="16"/>
      <w:szCs w:val="16"/>
      <w:lang w:eastAsia="uk-UA"/>
    </w:rPr>
  </w:style>
  <w:style w:type="paragraph" w:styleId="BodyText2">
    <w:name w:val="Body Text 2"/>
    <w:basedOn w:val="Normal"/>
    <w:link w:val="2"/>
    <w:uiPriority w:val="99"/>
    <w:qFormat/>
    <w:rsid w:val="00c50a7c"/>
    <w:pPr>
      <w:spacing w:lineRule="auto" w:line="480" w:before="0" w:after="120"/>
      <w:ind w:hanging="0"/>
      <w:jc w:val="left"/>
    </w:pPr>
    <w:rPr>
      <w:rFonts w:ascii="Times New Roman" w:hAnsi="Times New Roman" w:eastAsia="Times New Roman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qFormat/>
    <w:rsid w:val="004f1915"/>
    <w:pPr>
      <w:spacing w:lineRule="auto" w:line="240" w:beforeAutospacing="1" w:afterAutospacing="1"/>
      <w:ind w:hanging="0"/>
      <w:jc w:val="left"/>
    </w:pPr>
    <w:rPr>
      <w:rFonts w:ascii="Times New Roman" w:hAnsi="Times New Roman" w:eastAsia="Times New Roman"/>
      <w:sz w:val="24"/>
      <w:szCs w:val="24"/>
      <w:lang w:eastAsia="uk-UA"/>
    </w:rPr>
  </w:style>
  <w:style w:type="paragraph" w:styleId="Style23" w:customStyle="1">
    <w:name w:val="Нормальний текст"/>
    <w:basedOn w:val="Normal"/>
    <w:qFormat/>
    <w:rsid w:val="00462ab3"/>
    <w:pPr>
      <w:spacing w:lineRule="auto" w:line="240" w:before="120" w:after="0"/>
      <w:ind w:firstLine="567"/>
      <w:jc w:val="left"/>
    </w:pPr>
    <w:rPr>
      <w:rFonts w:ascii="Antiqua" w:hAnsi="Antiqua" w:eastAsia="Times New Roman"/>
      <w:sz w:val="26"/>
      <w:szCs w:val="20"/>
      <w:lang w:eastAsia="ru-RU"/>
    </w:rPr>
  </w:style>
  <w:style w:type="paragraph" w:styleId="NoSpacing">
    <w:name w:val="No Spacing"/>
    <w:uiPriority w:val="1"/>
    <w:qFormat/>
    <w:rsid w:val="00c042f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uk-UA" w:eastAsia="uk-UA" w:bidi="ar-SA"/>
    </w:rPr>
  </w:style>
  <w:style w:type="paragraph" w:styleId="Csd270a141" w:customStyle="1">
    <w:name w:val="csd270a141"/>
    <w:basedOn w:val="Normal"/>
    <w:qFormat/>
    <w:rsid w:val="00b755a6"/>
    <w:pPr>
      <w:spacing w:lineRule="auto" w:line="240" w:beforeAutospacing="1" w:afterAutospacing="1"/>
      <w:ind w:hanging="0"/>
      <w:jc w:val="left"/>
    </w:pPr>
    <w:rPr>
      <w:rFonts w:ascii="Times New Roman" w:hAnsi="Times New Roman" w:eastAsia="Times New Roman"/>
      <w:sz w:val="24"/>
      <w:szCs w:val="24"/>
      <w:lang w:eastAsia="uk-UA"/>
    </w:rPr>
  </w:style>
  <w:style w:type="paragraph" w:styleId="Style24" w:customStyle="1">
    <w:name w:val="Верхній і нижній колонтитули"/>
    <w:basedOn w:val="Normal"/>
    <w:qFormat/>
    <w:rsid w:val="00c16b96"/>
    <w:pPr/>
    <w:rPr/>
  </w:style>
  <w:style w:type="paragraph" w:styleId="Style25">
    <w:name w:val="Колонтитул"/>
    <w:basedOn w:val="Normal"/>
    <w:qFormat/>
    <w:pPr/>
    <w:rPr/>
  </w:style>
  <w:style w:type="paragraph" w:styleId="Header" w:customStyle="1">
    <w:name w:val="Header"/>
    <w:basedOn w:val="Normal"/>
    <w:uiPriority w:val="99"/>
    <w:unhideWhenUsed/>
    <w:rsid w:val="00015191"/>
    <w:pPr>
      <w:tabs>
        <w:tab w:val="clear" w:pos="708"/>
        <w:tab w:val="center" w:pos="4677" w:leader="none"/>
        <w:tab w:val="right" w:pos="9355" w:leader="none"/>
      </w:tabs>
      <w:spacing w:lineRule="auto" w:line="240"/>
    </w:pPr>
    <w:rPr/>
  </w:style>
  <w:style w:type="paragraph" w:styleId="Footer" w:customStyle="1">
    <w:name w:val="Footer"/>
    <w:basedOn w:val="Normal"/>
    <w:uiPriority w:val="99"/>
    <w:unhideWhenUsed/>
    <w:rsid w:val="00015191"/>
    <w:pPr>
      <w:tabs>
        <w:tab w:val="clear" w:pos="708"/>
        <w:tab w:val="center" w:pos="4677" w:leader="none"/>
        <w:tab w:val="right" w:pos="9355" w:leader="none"/>
      </w:tabs>
      <w:spacing w:lineRule="auto" w:line="240"/>
    </w:pPr>
    <w:rPr/>
  </w:style>
  <w:style w:type="paragraph" w:styleId="Style26" w:customStyle="1">
    <w:name w:val="Заголовок таблиці"/>
    <w:basedOn w:val="Style22"/>
    <w:qFormat/>
    <w:rsid w:val="00c16b96"/>
    <w:pPr>
      <w:jc w:val="center"/>
    </w:pPr>
    <w:rPr>
      <w:b/>
      <w:bCs/>
    </w:rPr>
  </w:style>
  <w:style w:type="paragraph" w:styleId="21">
    <w:name w:val="Основной текст (2)"/>
    <w:basedOn w:val="Normal"/>
    <w:qFormat/>
    <w:pPr>
      <w:widowControl w:val="false"/>
      <w:shd w:val="clear" w:color="auto" w:fill="FFFFFF"/>
      <w:spacing w:lineRule="exact" w:line="312" w:before="240" w:after="0"/>
      <w:ind w:hanging="0"/>
    </w:pPr>
    <w:rPr>
      <w:rFonts w:ascii="Calibri" w:hAnsi="Calibri" w:eastAsia="Calibri" w:cs="" w:asciiTheme="minorHAnsi" w:cstheme="minorBidi" w:eastAsiaTheme="minorHAnsi" w:hAnsiTheme="minorHAnsi"/>
      <w:sz w:val="26"/>
      <w:szCs w:val="26"/>
      <w:lang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6">
    <w:name w:val="Table Grid"/>
    <w:basedOn w:val="a1"/>
    <w:uiPriority w:val="99"/>
    <w:rsid w:val="00b508a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D04E20-AAB6-4FD7-A61B-7E0133A060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7325</TotalTime>
  <Application>LibreOffice/7.6.2.1$Windows_X86_64 LibreOffice_project/56f7684011345957bbf33a7ee678afaf4d2ba333</Application>
  <AppVersion>15.0000</AppVersion>
  <Pages>5</Pages>
  <Words>999</Words>
  <Characters>6766</Characters>
  <CharactersWithSpaces>7660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2016-06-09T12:24:00Z</dcterms:created>
  <dc:creator>kstl_lv</dc:creator>
  <dc:description/>
  <dc:language>uk-UA</dc:language>
  <cp:lastModifiedBy/>
  <cp:lastPrinted>2025-11-20T10:45:58Z</cp:lastPrinted>
  <dcterms:modified xsi:type="dcterms:W3CDTF">2026-07-01T09:44:11Z</dcterms:modified>
  <cp:revision>382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