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40"/>
        <w:ind w:hanging="0" w:left="5245" w:right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ЗАТВЕРДЖЕНО</w:t>
      </w:r>
    </w:p>
    <w:p>
      <w:pPr>
        <w:pStyle w:val="Normal"/>
        <w:widowControl w:val="false"/>
        <w:spacing w:lineRule="auto" w:line="240"/>
        <w:ind w:hanging="0" w:left="5245" w:right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ачальник Головного управління Пенсійного фонду України у Рівненській області</w:t>
      </w:r>
    </w:p>
    <w:p>
      <w:pPr>
        <w:pStyle w:val="Normal"/>
        <w:widowControl w:val="false"/>
        <w:spacing w:lineRule="auto" w:line="240"/>
        <w:ind w:hanging="0" w:left="5245" w:right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______________Василь П</w:t>
      </w:r>
      <w:r>
        <w:rPr>
          <w:rFonts w:ascii="Times New Roman" w:hAnsi="Times New Roman"/>
          <w:sz w:val="28"/>
          <w:szCs w:val="28"/>
        </w:rPr>
        <w:t>ЕТНЯ</w:t>
      </w:r>
      <w:r>
        <w:rPr>
          <w:rFonts w:ascii="Times New Roman" w:hAnsi="Times New Roman"/>
          <w:sz w:val="28"/>
          <w:szCs w:val="28"/>
        </w:rPr>
        <w:t>К</w:t>
      </w:r>
    </w:p>
    <w:p>
      <w:pPr>
        <w:pStyle w:val="Normal"/>
        <w:spacing w:lineRule="auto" w:line="240"/>
        <w:ind w:hanging="0" w:left="0" w:right="0"/>
        <w:jc w:val="center"/>
        <w:rPr/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>“</w:t>
      </w:r>
      <w:r>
        <w:rPr>
          <w:rFonts w:ascii="Times New Roman" w:hAnsi="Times New Roman"/>
          <w:b w:val="false"/>
          <w:bCs w:val="false"/>
          <w:sz w:val="28"/>
          <w:szCs w:val="28"/>
        </w:rPr>
        <w:t>____”____________2026 року</w:t>
      </w:r>
    </w:p>
    <w:p>
      <w:pPr>
        <w:pStyle w:val="Normal"/>
        <w:spacing w:lineRule="auto" w:line="24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УМОВИ</w:t>
      </w:r>
    </w:p>
    <w:p>
      <w:pPr>
        <w:pStyle w:val="Normal"/>
        <w:spacing w:lineRule="auto" w:line="240"/>
        <w:ind w:hanging="0" w:left="0" w:right="0"/>
        <w:jc w:val="center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shd w:fill="FFFFFF" w:val="clear"/>
        </w:rPr>
        <w:t>проведення добору на зайняття вакантної посади</w:t>
      </w:r>
    </w:p>
    <w:p>
      <w:pPr>
        <w:pStyle w:val="Normal"/>
        <w:ind w:hanging="0" w:left="0" w:right="0"/>
        <w:jc w:val="center"/>
        <w:rPr/>
      </w:pPr>
      <w:r>
        <w:rPr>
          <w:rFonts w:ascii="Times New Roman" w:hAnsi="Times New Roman"/>
          <w:b/>
          <w:sz w:val="28"/>
          <w:szCs w:val="28"/>
          <w:shd w:fill="FFFFFF" w:val="clear"/>
        </w:rPr>
        <w:t xml:space="preserve">державної служби категорії “В” - </w:t>
      </w:r>
      <w:r>
        <w:rPr>
          <w:rFonts w:eastAsia="Calibri" w:cs="Times New Roman" w:ascii="Times New Roman" w:hAnsi="Times New Roman"/>
          <w:b/>
          <w:color w:val="00000A"/>
          <w:kern w:val="0"/>
          <w:sz w:val="28"/>
          <w:szCs w:val="28"/>
          <w:shd w:fill="FFFFFF" w:val="clear"/>
          <w:lang w:val="uk-UA" w:eastAsia="en-US" w:bidi="ar-SA"/>
        </w:rPr>
        <w:t>головного</w:t>
      </w:r>
      <w:r>
        <w:rPr>
          <w:rFonts w:ascii="Times New Roman" w:hAnsi="Times New Roman"/>
          <w:b/>
          <w:sz w:val="28"/>
          <w:szCs w:val="28"/>
          <w:shd w:fill="FFFFFF" w:val="clear"/>
        </w:rPr>
        <w:t xml:space="preserve"> спеціаліста </w:t>
      </w:r>
    </w:p>
    <w:p>
      <w:pPr>
        <w:pStyle w:val="Normal"/>
        <w:spacing w:lineRule="auto" w:line="240"/>
        <w:ind w:hanging="0" w:left="0" w:right="0"/>
        <w:jc w:val="center"/>
        <w:rPr/>
      </w:pPr>
      <w:r>
        <w:rPr>
          <w:rFonts w:eastAsia="Times New Roman" w:ascii="Times New Roman" w:hAnsi="Times New Roman"/>
          <w:b/>
          <w:color w:val="000000"/>
          <w:sz w:val="28"/>
          <w:szCs w:val="28"/>
          <w:shd w:fill="FFFFFF" w:val="clear"/>
          <w:lang w:eastAsia="ru-RU"/>
        </w:rPr>
        <w:t xml:space="preserve">відділу </w:t>
      </w:r>
      <w:r>
        <w:rPr>
          <w:rFonts w:eastAsia="Times New Roman" w:cs="Times New Roman" w:ascii="Times New Roman" w:hAnsi="Times New Roman"/>
          <w:b/>
          <w:color w:val="000000"/>
          <w:kern w:val="0"/>
          <w:sz w:val="28"/>
          <w:szCs w:val="28"/>
          <w:shd w:fill="FFFFFF" w:val="clear"/>
          <w:lang w:val="uk-UA" w:eastAsia="ru-RU" w:bidi="ar-SA"/>
        </w:rPr>
        <w:t xml:space="preserve">обслуговування громадян № 10 (сервісний центр) управління обслуговування громадян 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highlight w:val="white"/>
          <w:shd w:fill="auto" w:val="clear"/>
          <w:lang w:val="uk-UA" w:eastAsia="ru-RU" w:bidi="ar-SA"/>
        </w:rPr>
        <w:t xml:space="preserve">(строково, на період відсутності основного працівника) </w:t>
      </w:r>
      <w:r>
        <w:rPr>
          <w:rFonts w:ascii="Times New Roman" w:hAnsi="Times New Roman"/>
          <w:b/>
          <w:sz w:val="28"/>
          <w:szCs w:val="28"/>
          <w:shd w:fill="FFFFFF" w:val="clear"/>
        </w:rPr>
        <w:t xml:space="preserve">– (робоче місце  -  </w:t>
      </w:r>
      <w:r>
        <w:rPr>
          <w:rFonts w:eastAsia="Calibri" w:cs="Times New Roman" w:ascii="Times New Roman" w:hAnsi="Times New Roman"/>
          <w:b/>
          <w:color w:val="00000A"/>
          <w:kern w:val="0"/>
          <w:sz w:val="28"/>
          <w:szCs w:val="28"/>
          <w:shd w:fill="FFFFFF" w:val="clear"/>
          <w:lang w:val="uk-UA" w:eastAsia="en-US" w:bidi="ar-SA"/>
        </w:rPr>
        <w:t>м. Рівне</w:t>
      </w:r>
      <w:r>
        <w:rPr>
          <w:rFonts w:ascii="Times New Roman" w:hAnsi="Times New Roman"/>
          <w:b/>
          <w:sz w:val="28"/>
          <w:szCs w:val="28"/>
          <w:shd w:fill="FFFFFF" w:val="clear"/>
        </w:rPr>
        <w:t>) 1 посада.</w:t>
      </w:r>
    </w:p>
    <w:p>
      <w:pPr>
        <w:pStyle w:val="Normal"/>
        <w:spacing w:lineRule="auto" w:line="240"/>
        <w:ind w:hanging="0" w:left="0" w:right="0"/>
        <w:jc w:val="center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</w:r>
    </w:p>
    <w:tbl>
      <w:tblPr>
        <w:tblW w:w="9663" w:type="dxa"/>
        <w:jc w:val="left"/>
        <w:tblInd w:w="5" w:type="dxa"/>
        <w:tblLayout w:type="fixed"/>
        <w:tblCellMar>
          <w:top w:w="0" w:type="dxa"/>
          <w:left w:w="78" w:type="dxa"/>
          <w:bottom w:w="0" w:type="dxa"/>
          <w:right w:w="108" w:type="dxa"/>
        </w:tblCellMar>
      </w:tblPr>
      <w:tblGrid>
        <w:gridCol w:w="368"/>
        <w:gridCol w:w="331"/>
        <w:gridCol w:w="2648"/>
        <w:gridCol w:w="3"/>
        <w:gridCol w:w="6313"/>
      </w:tblGrid>
      <w:tr>
        <w:trPr>
          <w:trHeight w:val="510" w:hRule="atLeast"/>
        </w:trPr>
        <w:tc>
          <w:tcPr>
            <w:tcW w:w="9663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Загальні умови</w:t>
            </w:r>
          </w:p>
        </w:tc>
      </w:tr>
      <w:tr>
        <w:trPr/>
        <w:tc>
          <w:tcPr>
            <w:tcW w:w="334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Посадові обов’язки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yle27"/>
              <w:widowControl w:val="false"/>
              <w:bidi w:val="0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A"/>
                <w:kern w:val="2"/>
                <w:sz w:val="28"/>
                <w:szCs w:val="28"/>
                <w:shd w:fill="FFFFFF" w:val="clear"/>
                <w:lang w:val="uk-UA" w:eastAsia="zh-CN" w:bidi="ar-SA"/>
              </w:rPr>
              <w:t>1. Здійснення:</w:t>
            </w:r>
          </w:p>
          <w:p>
            <w:pPr>
              <w:pStyle w:val="Style27"/>
              <w:widowControl w:val="false"/>
              <w:bidi w:val="0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Style w:val="WW8Num1z1"/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shd w:fill="FFFFFF" w:val="clear"/>
                <w:em w:val="none"/>
                <w:lang w:val="uk-UA" w:eastAsia="zh-CN" w:bidi="ar-SA"/>
              </w:rPr>
              <w:t>- п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shd w:fill="FFFFFF" w:val="clear"/>
                <w:em w:val="none"/>
                <w:lang w:val="uk-UA" w:eastAsia="zh-CN" w:bidi="ar-SA"/>
              </w:rPr>
              <w:t>рийняття заяв про призначення та перерахунок пенсії;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прийняття заяв та формування пакету документів для підтвердження пільгового стажу роботи на Комісії з питань підтвердження стажу роботи на посадах, що дають право на призначення пенсії на пільгових умовах або за вислугу років, відповідно до постанови правління Пенсійного фонду України від 10.11.2008 № 18-1;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прийняття заяв щодо підтвердження стажу, набутого на території іншої держави;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прийняття заяв та документів для видачі довідок з Реєстру застрахованих осіб, про перебування/ неперебування на обліку, про наявний страховий стаж для подальшого призначення державної соціальної допомоги непрацюючій особі, яка досягла загального пенсійного віку, але не набула права на пенсійну виплату;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прийняття необхідних документів для призначення/перерахунку житлових субсидій та пільг на оплату житлово-комунальних послуг, придбання твердого та рідкого пічного побутового палива і скрапленого газу;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- прийняття заяв про надання допомоги у витребуванні документів, необхідних для призначення/перерахунку пенсій;</w:t>
            </w:r>
          </w:p>
          <w:p>
            <w:pPr>
              <w:pStyle w:val="Style27"/>
              <w:widowControl w:val="false"/>
              <w:bidi w:val="0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  <w:highlight w:val="white"/>
              </w:rPr>
            </w:pPr>
            <w:r>
              <w:rPr>
                <w:rStyle w:val="WW8Num1z1"/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shd w:fill="FFFFFF" w:val="clear"/>
                <w:em w:val="none"/>
                <w:lang w:val="uk-UA" w:eastAsia="zh-CN" w:bidi="ar-SA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shd w:fill="FFFFFF" w:val="clear"/>
                <w:em w:val="none"/>
                <w:lang w:val="uk-UA" w:eastAsia="zh-CN" w:bidi="ar-SA"/>
              </w:rPr>
              <w:t>прийняття заяв про призначення/перерахунок/ продовження страхової виплати у зв’язку з нещасним випадком на виробництві (професійним захворюванням) або у зв’язку зі смертю годувальника;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прийняття заяви про виплату допомоги на поховання, недоотриманої пенсії;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прийняття заяви про поновлення пенсії, переведення виплати пенсії за новим місцем проживання, зміни способу виплати пенсії;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прийняття заяв про призначення державних соціальних допомог;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прийняття заяви та необхідних документів для оформлення та виготовлення пенсійного посвідчення, посвідчень для осіб, які одержують державну соціальну допомогу відповідно до Законів України “Про державну соціальну допомогу особам з інвалідністю з дитинства та дітям з інвалідністю” та “Про державну соціальну допомогу особам, які не мають права на пенсію, та особам з інвалідністю”;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shd w:fill="FFFFFF" w:val="clear"/>
                <w:em w:val="none"/>
                <w:lang w:val="uk-UA" w:eastAsia="zh-CN" w:bidi="ar-SA"/>
              </w:rPr>
              <w:t>- підготовка проєктів відповідей на звернення громадян, підприємств, установ, організацій;  документування та аналізу своєї діяльності.</w:t>
            </w:r>
          </w:p>
          <w:p>
            <w:pPr>
              <w:pStyle w:val="Style27"/>
              <w:widowControl w:val="false"/>
              <w:bidi w:val="0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highlight w:val="white"/>
                <w:u w:val="none"/>
                <w:em w:val="none"/>
                <w:lang w:val="uk-UA" w:eastAsia="zh-CN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shd w:fill="FFFFFF" w:val="clear"/>
                <w:em w:val="none"/>
                <w:lang w:val="uk-UA" w:eastAsia="zh-CN" w:bidi="ar-SA"/>
              </w:rPr>
              <w:t>2. Здійснення дистанційного обслуговування осіб засобами електронної пошти, через сторінки Головного управління у соціальних мережах, через “гарячу” телефонну лінію, через вебпортал Пенсійного фонду України.</w:t>
            </w:r>
          </w:p>
          <w:p>
            <w:pPr>
              <w:pStyle w:val="Style27"/>
              <w:widowControl w:val="false"/>
              <w:bidi w:val="0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shd w:fill="FFFFFF" w:val="clear"/>
                <w:em w:val="none"/>
                <w:lang w:val="uk-UA" w:eastAsia="zh-CN" w:bidi="ar-SA"/>
              </w:rPr>
              <w:t>3. Надання послуг Пенсійного фонду України на віддалених робочих місцях, створених в територіальних громадах, ЦНАПах, під час виїзних прийомів, в тому числі до осіб з інвалідністю та осіб, яким виповнилось 80 і більше років.</w:t>
            </w:r>
          </w:p>
          <w:p>
            <w:pPr>
              <w:pStyle w:val="Style27"/>
              <w:widowControl w:val="false"/>
              <w:bidi w:val="0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shd w:fill="auto" w:val="clear"/>
                <w:em w:val="none"/>
                <w:lang w:val="uk-UA" w:eastAsia="zh-CN" w:bidi="ar-SA"/>
              </w:rPr>
              <w:t>4. Проведення інформаційно-роз’яснювальної роботи щодо висвітлення загальної інформації про умови, порядок призначення, перерахунку, виплати пенсій та видів послуг, які надаються органами Пенсійного фонду.</w:t>
            </w:r>
          </w:p>
          <w:p>
            <w:pPr>
              <w:pStyle w:val="Style27"/>
              <w:widowControl w:val="false"/>
              <w:bidi w:val="0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shd w:fill="auto" w:val="clear"/>
                <w:em w:val="none"/>
                <w:lang w:val="uk-UA" w:eastAsia="zh-CN" w:bidi="ar-SA"/>
              </w:rPr>
              <w:t>5. Нада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8"/>
                <w:szCs w:val="28"/>
                <w:u w:val="none"/>
                <w:shd w:fill="auto" w:val="clear"/>
                <w:em w:val="none"/>
                <w:lang w:val="uk-UA" w:eastAsia="zh-CN" w:bidi="ar-SA"/>
              </w:rPr>
              <w:t>ння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shd w:fill="auto" w:val="clear"/>
                <w:em w:val="none"/>
                <w:lang w:val="uk-UA" w:eastAsia="zh-CN" w:bidi="ar-SA"/>
              </w:rPr>
              <w:t>:</w:t>
            </w:r>
          </w:p>
          <w:p>
            <w:pPr>
              <w:pStyle w:val="NormalWeb"/>
              <w:widowControl w:val="false"/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  <w:lang w:val="uk-UA" w:eastAsia="zh-CN" w:bidi="ar-SA"/>
              </w:rPr>
              <w:t>- послуг з перегляду в автоматизованій системі обробки пенсійної документації;</w:t>
            </w:r>
          </w:p>
          <w:p>
            <w:pPr>
              <w:pStyle w:val="NormalWeb"/>
              <w:widowControl w:val="false"/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  <w:lang w:val="uk-UA" w:eastAsia="zh-CN" w:bidi="ar-SA"/>
              </w:rPr>
              <w:t>- допомоги в оформленні заяв для реєстрації на вебпорталі електронних послуг та користування послугою СМС-інформування;</w:t>
            </w:r>
          </w:p>
          <w:p>
            <w:pPr>
              <w:pStyle w:val="Style27"/>
              <w:widowControl w:val="false"/>
              <w:bidi w:val="0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shd w:fill="FFFFFF" w:val="clear"/>
                <w:em w:val="none"/>
                <w:lang w:val="uk-UA" w:eastAsia="zh-CN" w:bidi="ar-SA"/>
              </w:rPr>
              <w:t>- допомоги в одержанні відсутніх довідок про ста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4"/>
                <w:szCs w:val="24"/>
                <w:u w:val="none"/>
                <w:shd w:fill="FFFFFF" w:val="clear"/>
                <w:em w:val="none"/>
                <w:lang w:val="uk-UA" w:eastAsia="zh-CN" w:bidi="ar-SA"/>
              </w:rPr>
              <w:t xml:space="preserve">ж та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shd w:fill="FFFFFF" w:val="clear"/>
                <w:em w:val="none"/>
                <w:lang w:val="uk-UA" w:eastAsia="zh-CN" w:bidi="ar-SA"/>
              </w:rPr>
              <w:t>заробітну плату, необхідних для призначення пенсій.</w:t>
            </w:r>
          </w:p>
        </w:tc>
      </w:tr>
      <w:tr>
        <w:trPr/>
        <w:tc>
          <w:tcPr>
            <w:tcW w:w="334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Умови оплати праці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посадовий оклад згідно з штатним розписом на  2026 рік –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207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95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грн, надбавка за вислугу років на державній службі відповідно до п.13 Прикінцевих положень Закону України “Про державний бюджет України на 2026 рік”, доплати, премії та компенсації.</w:t>
            </w:r>
          </w:p>
        </w:tc>
      </w:tr>
      <w:tr>
        <w:trPr/>
        <w:tc>
          <w:tcPr>
            <w:tcW w:w="334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строково;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на період дії воєнного стану, до дня визначення суб’єктом призначення переможця за результатами конкурсного відбору на цю посаду відповідно до законодавства, але не більше 12 місяців з дня припинення чи скасування воєнного стану.</w:t>
            </w:r>
          </w:p>
        </w:tc>
      </w:tr>
      <w:tr>
        <w:trPr/>
        <w:tc>
          <w:tcPr>
            <w:tcW w:w="334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Перелік інформації, необхідної для участі в конкурсі, та строк їх подання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hanging="0" w:left="34" w:righ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заява про участь у доборі на  зайняття посади державної служби;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hanging="0" w:left="34" w:righ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резюме за формою згідно з додатком 2-1 до Порядку проведення конкурсу на зайняття посад державної служби, затвердженого постановою Кабінету Міністрів України від 25 березня 2016 року №246 (зі змінами);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hanging="0" w:left="34" w:righ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копія паспорта громадянина України з даними про прізвище, ім’я та по батькові, видачу паспорта та місце реєстрації;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hanging="0" w:left="34" w:righ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копія документів, що підтверджують наявність відповідного ступеня вищої освіти;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hanging="0" w:left="34" w:righ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копія трудової книжки;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hanging="0" w:left="34" w:righ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військово-облікові документи для військовозобов’язаних та призовників.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/>
              <w:ind w:firstLine="326" w:left="34" w:righ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Інформація подається особисто до служби управління персоналом Головного управління Пенсійного фонду України 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lang w:val="uk-UA" w:eastAsia="en-US" w:bidi="ar-SA"/>
              </w:rPr>
              <w:t>в Рівненській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області (м.Рівне, вул. Олександра Борисенка, 7, каб. №705) по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серпн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2026 року включно.</w:t>
            </w:r>
          </w:p>
        </w:tc>
      </w:tr>
      <w:tr>
        <w:trPr/>
        <w:tc>
          <w:tcPr>
            <w:tcW w:w="334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Додаткові (необов’язкові) документи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yle23"/>
              <w:widowControl w:val="false"/>
              <w:tabs>
                <w:tab w:val="clear" w:pos="708"/>
                <w:tab w:val="left" w:pos="397" w:leader="none"/>
              </w:tabs>
              <w:spacing w:before="0" w:after="0"/>
              <w:ind w:hanging="0" w:left="37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служби.</w:t>
            </w:r>
          </w:p>
        </w:tc>
      </w:tr>
      <w:tr>
        <w:trPr/>
        <w:tc>
          <w:tcPr>
            <w:tcW w:w="334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widowControl w:val="false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  <w:t>Кальній Світлана Миколаївна,</w:t>
            </w:r>
          </w:p>
          <w:p>
            <w:pPr>
              <w:pStyle w:val="BodyText"/>
              <w:widowControl w:val="false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  <w:t>096-398-23-32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9663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Кваліфікаційні вимоги</w:t>
            </w:r>
          </w:p>
        </w:tc>
      </w:tr>
      <w:tr>
        <w:trPr/>
        <w:tc>
          <w:tcPr>
            <w:tcW w:w="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Освіта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вища, не нижче молодшого бакалавра або бакалавра</w:t>
            </w:r>
          </w:p>
        </w:tc>
      </w:tr>
      <w:tr>
        <w:trPr/>
        <w:tc>
          <w:tcPr>
            <w:tcW w:w="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Досвід роботи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 w:right="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не потребує</w:t>
            </w:r>
          </w:p>
        </w:tc>
      </w:tr>
      <w:tr>
        <w:trPr/>
        <w:tc>
          <w:tcPr>
            <w:tcW w:w="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вільне володіння державною мовою</w:t>
            </w:r>
          </w:p>
        </w:tc>
      </w:tr>
      <w:tr>
        <w:trPr/>
        <w:tc>
          <w:tcPr>
            <w:tcW w:w="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Володіння іноземною мовою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118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/>
        <w:tc>
          <w:tcPr>
            <w:tcW w:w="9663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Вимоги до компетентності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34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Вимога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Компоненти вимоги</w:t>
            </w:r>
          </w:p>
        </w:tc>
      </w:tr>
      <w:tr>
        <w:trPr>
          <w:trHeight w:val="753" w:hRule="atLeast"/>
        </w:trPr>
        <w:tc>
          <w:tcPr>
            <w:tcW w:w="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Комунікація і взаємодія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Web"/>
              <w:widowControl w:val="false"/>
              <w:tabs>
                <w:tab w:val="clear" w:pos="708"/>
                <w:tab w:val="left" w:pos="318" w:leader="none"/>
              </w:tabs>
              <w:bidi w:val="0"/>
              <w:spacing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- уміння встановлювати відкриті, шанобливі стосунки, засновані на довірі та взаєморозумінні;</w:t>
            </w:r>
          </w:p>
          <w:p>
            <w:pPr>
              <w:pStyle w:val="NormalWeb"/>
              <w:widowControl w:val="false"/>
              <w:tabs>
                <w:tab w:val="clear" w:pos="708"/>
                <w:tab w:val="left" w:pos="318" w:leader="none"/>
              </w:tabs>
              <w:bidi w:val="0"/>
              <w:spacing w:before="0" w:after="0"/>
              <w:ind w:hanging="0" w:left="34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- своєчасно виявляти і попереджати потенційно можливу проблемну ситуацію.</w:t>
            </w:r>
          </w:p>
        </w:tc>
      </w:tr>
      <w:tr>
        <w:trPr/>
        <w:tc>
          <w:tcPr>
            <w:tcW w:w="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Стресостійкість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уміння розуміти та управляти своїми емоціями;</w:t>
            </w:r>
          </w:p>
          <w:p>
            <w:pPr>
              <w:pStyle w:val="Normal"/>
              <w:widowControl w:val="false"/>
              <w:spacing w:lineRule="auto" w:line="240"/>
              <w:ind w:hanging="0" w:left="34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до самоконтролю;</w:t>
            </w:r>
          </w:p>
          <w:p>
            <w:pPr>
              <w:pStyle w:val="Normal"/>
              <w:widowControl w:val="false"/>
              <w:spacing w:lineRule="auto" w:line="240"/>
              <w:ind w:hanging="0" w:left="34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до конструктивного ставлення до зворотного зв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>язку, зокрема критики;</w:t>
            </w:r>
          </w:p>
          <w:p>
            <w:pPr>
              <w:pStyle w:val="Normal"/>
              <w:widowControl w:val="false"/>
              <w:spacing w:lineRule="auto" w:line="240"/>
              <w:ind w:hanging="0" w:left="34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оптимізм.</w:t>
            </w:r>
          </w:p>
        </w:tc>
      </w:tr>
      <w:tr>
        <w:trPr/>
        <w:tc>
          <w:tcPr>
            <w:tcW w:w="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Доброчесність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дотримуватися правил етичної поведінки, порядності, чесності, справедливості, підзвітності;</w:t>
            </w:r>
          </w:p>
          <w:p>
            <w:pPr>
              <w:pStyle w:val="Normal"/>
              <w:widowControl w:val="false"/>
              <w:spacing w:lineRule="auto" w:line="240"/>
              <w:ind w:hanging="0" w:left="34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усвідомлення обмеження у виявленні переваг, прихильності та/або негативного ставлення до окремих фізичних та юридичних осіб, політичних партій, громадських, релігійних та інших організацій.</w:t>
            </w:r>
          </w:p>
        </w:tc>
      </w:tr>
      <w:tr>
        <w:trPr/>
        <w:tc>
          <w:tcPr>
            <w:tcW w:w="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Орієнтація на досягнення результату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навички коригування дій з метою підвищення результативності;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уміння зберігати високу працездатність в екстремальних умовах;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уміння визначати цілі, пріоритети.</w:t>
            </w:r>
          </w:p>
        </w:tc>
      </w:tr>
      <w:tr>
        <w:trPr/>
        <w:tc>
          <w:tcPr>
            <w:tcW w:w="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Цифрова грамотність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27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Normal"/>
              <w:widowControl w:val="false"/>
              <w:spacing w:lineRule="auto" w:line="240"/>
              <w:ind w:hanging="0" w:left="27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Normal"/>
              <w:widowControl w:val="false"/>
              <w:spacing w:lineRule="auto" w:line="240"/>
              <w:ind w:hanging="0" w:left="27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уникати небезпек в цифровому середовищі, захищати особисті та конфіденційні дані;</w:t>
            </w:r>
          </w:p>
          <w:p>
            <w:pPr>
              <w:pStyle w:val="Normal"/>
              <w:widowControl w:val="false"/>
              <w:spacing w:lineRule="auto" w:line="240"/>
              <w:ind w:hanging="0" w:left="27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вміння використовувати електронні реєстри, системи електронного документообігу, вміти користуватись кваліфікованим електронним підписом (КЕП);</w:t>
            </w:r>
          </w:p>
          <w:p>
            <w:pPr>
              <w:pStyle w:val="Normal"/>
              <w:widowControl w:val="false"/>
              <w:spacing w:lineRule="auto" w:line="240"/>
              <w:ind w:hanging="0" w:left="27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використовувати відкриті цифрові ресурси для власного професійного розвитку.</w:t>
            </w:r>
          </w:p>
        </w:tc>
      </w:tr>
      <w:tr>
        <w:trPr/>
        <w:tc>
          <w:tcPr>
            <w:tcW w:w="9663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Професійні знання</w:t>
            </w:r>
          </w:p>
        </w:tc>
      </w:tr>
      <w:tr>
        <w:trPr>
          <w:trHeight w:val="412" w:hRule="atLeast"/>
        </w:trPr>
        <w:tc>
          <w:tcPr>
            <w:tcW w:w="334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Вимога</w:t>
            </w:r>
          </w:p>
        </w:tc>
        <w:tc>
          <w:tcPr>
            <w:tcW w:w="63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Компоненти вимоги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1671" w:hRule="atLeast"/>
        </w:trPr>
        <w:tc>
          <w:tcPr>
            <w:tcW w:w="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Знання законодавства</w:t>
            </w:r>
          </w:p>
        </w:tc>
        <w:tc>
          <w:tcPr>
            <w:tcW w:w="6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Знання: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Конституції України;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Закону України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Про державну службу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;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Закону України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Про запобігання корупції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 та іншого законодавства.</w:t>
            </w:r>
          </w:p>
        </w:tc>
      </w:tr>
      <w:tr>
        <w:trPr>
          <w:trHeight w:val="1124" w:hRule="atLeast"/>
        </w:trPr>
        <w:tc>
          <w:tcPr>
            <w:tcW w:w="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0" w:leader="none"/>
              </w:tabs>
              <w:spacing w:lineRule="auto" w:line="240"/>
              <w:ind w:hanging="249" w:left="283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Знання: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0" w:leader="none"/>
              </w:tabs>
              <w:bidi w:val="0"/>
              <w:spacing w:lineRule="auto" w:line="240" w:before="0" w:after="0"/>
              <w:ind w:hanging="0" w:left="0" w:right="0"/>
              <w:contextualSpacing/>
              <w:jc w:val="both"/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Положення про Пенсійний фонд України;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0" w:leader="none"/>
              </w:tabs>
              <w:bidi w:val="0"/>
              <w:spacing w:lineRule="auto" w:line="240" w:before="0" w:after="0"/>
              <w:ind w:hanging="0" w:left="0" w:right="0"/>
              <w:contextualSpacing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Положення “Про організацію прийому та обслуговування осіб, які звертаються до органів Пенсійного фонду України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”.</w:t>
            </w:r>
          </w:p>
        </w:tc>
      </w:tr>
      <w:tr>
        <w:trPr>
          <w:trHeight w:val="448" w:hRule="atLeast"/>
        </w:trPr>
        <w:tc>
          <w:tcPr>
            <w:tcW w:w="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Знання законодавства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 з питань 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shd w:fill="auto" w:val="clear"/>
                <w:lang w:val="uk-UA" w:eastAsia="en-US" w:bidi="ar-SA"/>
              </w:rPr>
              <w:t>обслуговування громадян</w:t>
            </w:r>
          </w:p>
        </w:tc>
        <w:tc>
          <w:tcPr>
            <w:tcW w:w="6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Знання: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Закону України “Про 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shd w:fill="auto" w:val="clear"/>
                <w:lang w:val="uk-UA" w:eastAsia="en-US" w:bidi="ar-SA"/>
              </w:rPr>
              <w:t>адміністративну процедуру”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;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Закону України “Про з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shd w:fill="auto" w:val="clear"/>
                <w:lang w:val="uk-UA" w:eastAsia="en-US" w:bidi="ar-SA"/>
              </w:rPr>
              <w:t>вернення громадян”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;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Закону України “Про 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shd w:fill="auto" w:val="clear"/>
                <w:lang w:val="uk-UA" w:eastAsia="en-US" w:bidi="ar-SA"/>
              </w:rPr>
              <w:t>загальнообов’язкове державне пенсійне страхування”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;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Закону України “Про 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shd w:fill="auto" w:val="clear"/>
                <w:lang w:val="uk-UA" w:eastAsia="en-US" w:bidi="ar-SA"/>
              </w:rPr>
              <w:t>пенсійне забезпечення осіб, звільнених з військової служби, та деяких інших осіб”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;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Закону України “Про статус і соціальний захист громадян, які постраждали внаслідок Чорнобильської катастрофи”;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Закону України “Про 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shd w:fill="auto" w:val="clear"/>
                <w:lang w:val="uk-UA" w:eastAsia="en-US" w:bidi="ar-SA"/>
              </w:rPr>
              <w:t>захист персональних даних”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;</w:t>
            </w:r>
          </w:p>
          <w:p>
            <w:pPr>
              <w:pStyle w:val="NormalWeb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sz w:val="28"/>
                <w:szCs w:val="28"/>
                <w:shd w:fill="auto" w:val="clear"/>
              </w:rPr>
              <w:t xml:space="preserve">Закону України </w:t>
            </w:r>
            <w:r>
              <w:rPr>
                <w:rFonts w:eastAsia="Times New Roman" w:cs="Times New Roman"/>
                <w:sz w:val="28"/>
                <w:szCs w:val="28"/>
                <w:shd w:fill="auto" w:val="clear"/>
              </w:rPr>
              <w:t>“</w:t>
            </w:r>
            <w:r>
              <w:rPr>
                <w:sz w:val="28"/>
                <w:szCs w:val="28"/>
                <w:shd w:fill="auto" w:val="clear"/>
              </w:rPr>
              <w:t>Про державну соціальну допомогу малозабезпеченим сім’ям</w:t>
            </w:r>
            <w:r>
              <w:rPr>
                <w:rFonts w:eastAsia="Times New Roman" w:cs="Times New Roman"/>
                <w:sz w:val="28"/>
                <w:szCs w:val="28"/>
                <w:shd w:fill="auto" w:val="clear"/>
              </w:rPr>
              <w:t>”</w:t>
            </w:r>
            <w:r>
              <w:rPr>
                <w:sz w:val="28"/>
                <w:szCs w:val="28"/>
                <w:shd w:fill="auto" w:val="clear"/>
              </w:rPr>
              <w:t>;</w:t>
            </w:r>
          </w:p>
          <w:p>
            <w:pPr>
              <w:pStyle w:val="NormalWeb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sz w:val="28"/>
                <w:szCs w:val="28"/>
                <w:shd w:fill="auto" w:val="clear"/>
              </w:rPr>
              <w:t xml:space="preserve">Закону України </w:t>
            </w:r>
            <w:r>
              <w:rPr>
                <w:rFonts w:eastAsia="Times New Roman" w:cs="Times New Roman"/>
                <w:sz w:val="28"/>
                <w:szCs w:val="28"/>
                <w:shd w:fill="auto" w:val="clear"/>
                <w:lang w:val="ru-RU"/>
              </w:rPr>
              <w:t>“</w:t>
            </w:r>
            <w:r>
              <w:rPr>
                <w:sz w:val="28"/>
                <w:szCs w:val="28"/>
                <w:shd w:fill="auto" w:val="clear"/>
              </w:rPr>
              <w:t>Про державну соціальну допомогу особам, які не мають права на пенсію, та особам з інвалідністю</w:t>
            </w:r>
            <w:r>
              <w:rPr>
                <w:rFonts w:eastAsia="Times New Roman" w:cs="Times New Roman"/>
                <w:sz w:val="28"/>
                <w:szCs w:val="28"/>
                <w:shd w:fill="auto" w:val="clear"/>
              </w:rPr>
              <w:t>”</w:t>
            </w:r>
            <w:r>
              <w:rPr>
                <w:sz w:val="28"/>
                <w:szCs w:val="28"/>
                <w:shd w:fill="auto" w:val="clear"/>
              </w:rPr>
              <w:t>;</w:t>
            </w:r>
          </w:p>
          <w:p>
            <w:pPr>
              <w:pStyle w:val="NormalWeb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sz w:val="28"/>
                <w:szCs w:val="28"/>
                <w:shd w:fill="auto" w:val="clear"/>
              </w:rPr>
              <w:t xml:space="preserve">Закону України </w:t>
            </w:r>
            <w:r>
              <w:rPr>
                <w:rFonts w:eastAsia="Times New Roman" w:cs="Times New Roman"/>
                <w:sz w:val="28"/>
                <w:szCs w:val="28"/>
                <w:shd w:fill="auto" w:val="clear"/>
              </w:rPr>
              <w:t>“</w:t>
            </w:r>
            <w:r>
              <w:rPr>
                <w:sz w:val="28"/>
                <w:szCs w:val="28"/>
                <w:shd w:fill="auto" w:val="clear"/>
              </w:rPr>
              <w:t>Про державну соціальну допомогу особам з інвалідністю з дитинства та дітям з інвалідністю</w:t>
            </w:r>
            <w:r>
              <w:rPr>
                <w:rFonts w:eastAsia="Times New Roman" w:cs="Times New Roman"/>
                <w:sz w:val="28"/>
                <w:szCs w:val="28"/>
                <w:shd w:fill="auto" w:val="clear"/>
              </w:rPr>
              <w:t>”</w:t>
            </w:r>
            <w:r>
              <w:rPr>
                <w:sz w:val="28"/>
                <w:szCs w:val="28"/>
                <w:shd w:fill="auto" w:val="clear"/>
              </w:rPr>
              <w:t>;</w:t>
            </w:r>
          </w:p>
          <w:p>
            <w:pPr>
              <w:pStyle w:val="NormalWeb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sz w:val="28"/>
                <w:szCs w:val="28"/>
                <w:shd w:fill="auto" w:val="clear"/>
              </w:rPr>
              <w:t xml:space="preserve">Закону України </w:t>
            </w:r>
            <w:r>
              <w:rPr>
                <w:rFonts w:eastAsia="Times New Roman" w:cs="Times New Roman"/>
                <w:sz w:val="28"/>
                <w:szCs w:val="28"/>
                <w:shd w:fill="auto" w:val="clear"/>
              </w:rPr>
              <w:t>“</w:t>
            </w:r>
            <w:r>
              <w:rPr>
                <w:sz w:val="28"/>
                <w:szCs w:val="28"/>
                <w:shd w:fill="auto" w:val="clear"/>
              </w:rPr>
              <w:t>Про державну допомогу сім’ям з дітьми”</w:t>
            </w:r>
            <w:r>
              <w:rPr>
                <w:rFonts w:eastAsia="Times New Roman" w:cs="Times New Roman"/>
                <w:sz w:val="28"/>
                <w:szCs w:val="28"/>
                <w:shd w:fill="auto" w:val="clear"/>
              </w:rPr>
              <w:t>;</w:t>
            </w:r>
          </w:p>
          <w:p>
            <w:pPr>
              <w:pStyle w:val="NormalWeb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sz w:val="28"/>
                <w:szCs w:val="28"/>
                <w:shd w:fill="auto" w:val="clear"/>
              </w:rPr>
              <w:t xml:space="preserve">Постанови </w:t>
            </w:r>
            <w:r>
              <w:rPr>
                <w:sz w:val="28"/>
                <w:szCs w:val="28"/>
                <w:shd w:fill="auto" w:val="clear"/>
                <w:lang w:val="uk-UA"/>
              </w:rPr>
              <w:t xml:space="preserve">правління Пенсійного фонду України </w:t>
            </w:r>
            <w:r>
              <w:rPr>
                <w:rFonts w:eastAsia="Times New Roman" w:cs="Times New Roman"/>
                <w:sz w:val="28"/>
                <w:szCs w:val="28"/>
                <w:shd w:fill="auto" w:val="clear"/>
                <w:lang w:val="uk-UA"/>
              </w:rPr>
              <w:t>«</w:t>
            </w:r>
            <w:r>
              <w:rPr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 xml:space="preserve">Про затвердження Порядку подання та оформлення документів для призначення (перерахунку) пенсій відповідно до Закону України 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Про загальнообов'язкове державне пенсійне страхування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”»</w:t>
            </w:r>
            <w:r>
              <w:rPr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;</w:t>
            </w:r>
          </w:p>
          <w:p>
            <w:pPr>
              <w:pStyle w:val="NormalWeb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 xml:space="preserve">Постанови правління Пенсійного фонду України 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«</w:t>
            </w:r>
            <w:r>
              <w:rPr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Про затвердження Порядку подання та оформлення документів для призначення (перерахунку) пенсій  відповідно до Закону України “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 xml:space="preserve">Про </w:t>
            </w:r>
            <w:r>
              <w:rPr>
                <w:rFonts w:eastAsia="Calibri" w:cs="Times New Roman"/>
                <w:b w:val="false"/>
                <w:bCs w:val="false"/>
                <w:color w:val="00000A"/>
                <w:kern w:val="0"/>
                <w:sz w:val="28"/>
                <w:szCs w:val="28"/>
                <w:shd w:fill="auto" w:val="clear"/>
                <w:lang w:val="uk-UA" w:eastAsia="en-US" w:bidi="ar-SA"/>
              </w:rPr>
              <w:t>пенсійне забезпечення осіб, звільнених з військової служби, та деяких інших осіб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8"/>
                <w:szCs w:val="28"/>
                <w:shd w:fill="auto" w:val="clear"/>
                <w:lang w:val="uk-UA" w:eastAsia="en-US" w:bidi="ar-SA"/>
              </w:rPr>
              <w:t>”»</w:t>
            </w:r>
            <w:r>
              <w:rPr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;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15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 xml:space="preserve">Постанови Кабінету Міністрів України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Деякі питання надання житлових субсидій та пільг на оплату житлово-комунальних послуг, придбання твердого палива і скрапленого газу у грошовій формі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”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;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 xml:space="preserve">Постанови Кабінету Міністрів України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”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;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 xml:space="preserve">Постанови Кабінету Міністрів України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Про Реєстр осіб, які мають право на пільги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”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;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15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 xml:space="preserve">Постанови Кабінету Міністрів України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Деякі питання виплати державної соціальної допомоги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”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;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 xml:space="preserve">Постанови Кабінету Міністрів України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Деякі питання виплати допомоги на проживання внутрішньо переміщеним особам”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;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 xml:space="preserve">Постанови Кабінету Міністрів України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Про надання щомісячної грошової допомоги особі, яка проживає разом з особою з інвалідністю I чи II групи внаслідок психічного розладу, яка за висновком лікарської комісії закладу охорони здоров’я потребує постійного стороннього догляду, на догляд за нею”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;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 xml:space="preserve">Постанови Кабінету Міністрів України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Про затвердження Порядку призначення та виплати тимчасової державної допомоги дітям, батьки яких ухиляються від сплати аліментів, не мають можливості утримувати дитину або місце проживання їх невідоме”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;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 xml:space="preserve">Постанови Кабінету Міністрів України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Про затвердження Порядку призначення тимчасової державної соціальної допомоги непрацюючій особі, яка досягла загального пенсійного віку, але не набула права на пенсійну виплату”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;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 xml:space="preserve">Постанови Кабінету Міністрів України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Деякі питання надання соціальної підтримки багатодітним сім'ям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”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;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229" w:leader="none"/>
              </w:tabs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 xml:space="preserve">Постанови Кабінету Міністрів України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Про затвердження Порядку призначення і виплати державної допомоги сім'ям з дітьми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shd w:fill="auto" w:val="clear"/>
                <w:lang w:val="uk-UA"/>
              </w:rPr>
              <w:t>”;</w:t>
            </w:r>
          </w:p>
          <w:p>
            <w:pPr>
              <w:pStyle w:val="Normal"/>
              <w:widowControl w:val="false"/>
              <w:spacing w:lineRule="auto" w:line="240"/>
              <w:ind w:hanging="0" w:left="0" w:righ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стандартів обслуговування громадян в органах Пенсійного фонду України та інш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shd w:fill="auto" w:val="clear"/>
                <w:lang w:val="uk-UA" w:eastAsia="en-US" w:bidi="ar-SA"/>
              </w:rPr>
              <w:t>их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 нормативно-правов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shd w:fill="auto" w:val="clear"/>
                <w:lang w:val="uk-UA" w:eastAsia="en-US" w:bidi="ar-SA"/>
              </w:rPr>
              <w:t>их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 акт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shd w:fill="auto" w:val="clear"/>
                <w:lang w:val="uk-UA" w:eastAsia="en-US" w:bidi="ar-SA"/>
              </w:rPr>
              <w:t>ів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 щодо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8"/>
                <w:szCs w:val="28"/>
                <w:u w:val="none"/>
                <w:shd w:fill="FFFFFF" w:val="clear"/>
                <w:em w:val="none"/>
                <w:lang w:val="uk-UA" w:eastAsia="zh-CN" w:bidi="ar-SA"/>
              </w:rPr>
              <w:t>пенсійного забезпечення, надання страхових виплат, соціальних послу, житлових субсидій/пільг та державних соціальних допомог.</w:t>
            </w:r>
          </w:p>
        </w:tc>
      </w:tr>
    </w:tbl>
    <w:p>
      <w:pPr>
        <w:pStyle w:val="Normal"/>
        <w:pBdr>
          <w:bottom w:val="single" w:sz="12" w:space="1" w:color="000001"/>
        </w:pBdr>
        <w:tabs>
          <w:tab w:val="clear" w:pos="708"/>
          <w:tab w:val="left" w:pos="1545" w:leader="none"/>
        </w:tabs>
        <w:spacing w:lineRule="auto" w:line="240"/>
        <w:ind w:hanging="0" w:left="0" w:right="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701" w:right="566" w:gutter="0" w:header="708" w:top="765" w:footer="0" w:bottom="709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ntiqu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7</w:t>
    </w:r>
    <w:r>
      <w:rPr/>
      <w:fldChar w:fldCharType="end"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8"/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76" w:before="0" w:after="0"/>
      <w:ind w:firstLine="4536" w:left="0" w:right="0"/>
      <w:jc w:val="right"/>
    </w:pPr>
    <w:rPr>
      <w:rFonts w:ascii="Calibri" w:hAnsi="Calibri" w:eastAsia="Calibri" w:cs="Times New Roman"/>
      <w:color w:val="00000A"/>
      <w:kern w:val="0"/>
      <w:sz w:val="22"/>
      <w:szCs w:val="22"/>
      <w:lang w:val="uk-UA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Основной текст Знак"/>
    <w:qFormat/>
    <w:rPr>
      <w:rFonts w:ascii="Times New Roman" w:hAnsi="Times New Roman" w:cs="Times New Roman"/>
      <w:sz w:val="20"/>
      <w:szCs w:val="20"/>
      <w:lang w:val="uk-UA"/>
    </w:rPr>
  </w:style>
  <w:style w:type="character" w:styleId="Apple-converted-space">
    <w:name w:val="apple-converted-space"/>
    <w:qFormat/>
    <w:rPr/>
  </w:style>
  <w:style w:type="character" w:styleId="Style15">
    <w:name w:val="Основной текст с отступом Знак"/>
    <w:qFormat/>
    <w:rPr>
      <w:rFonts w:cs="Times New Roman"/>
      <w:lang w:val="uk-UA"/>
    </w:rPr>
  </w:style>
  <w:style w:type="character" w:styleId="Style16">
    <w:name w:val="Текст выноски Знак"/>
    <w:qFormat/>
    <w:rPr>
      <w:rFonts w:ascii="Tahoma" w:hAnsi="Tahoma" w:cs="Tahoma"/>
      <w:sz w:val="16"/>
      <w:szCs w:val="16"/>
      <w:lang w:val="uk-UA"/>
    </w:rPr>
  </w:style>
  <w:style w:type="character" w:styleId="3">
    <w:name w:val="Основной текст с отступом 3 Знак"/>
    <w:qFormat/>
    <w:rPr>
      <w:rFonts w:ascii="Times New Roman" w:hAnsi="Times New Roman" w:cs="Times New Roman"/>
      <w:sz w:val="16"/>
      <w:szCs w:val="16"/>
      <w:lang w:val="uk-UA" w:eastAsia="uk-UA"/>
    </w:rPr>
  </w:style>
  <w:style w:type="character" w:styleId="2">
    <w:name w:val="Основной текст 2 Знак"/>
    <w:qFormat/>
    <w:rPr>
      <w:rFonts w:ascii="Times New Roman" w:hAnsi="Times New Roman" w:cs="Times New Roman"/>
      <w:sz w:val="24"/>
      <w:szCs w:val="24"/>
      <w:lang w:eastAsia="ru-RU"/>
    </w:rPr>
  </w:style>
  <w:style w:type="character" w:styleId="4">
    <w:name w:val="Основной текст (4) + Не курсив"/>
    <w:qFormat/>
    <w:rPr>
      <w:rFonts w:ascii="Times New Roman" w:hAnsi="Times New Roman" w:cs="Times New Roman"/>
      <w:i/>
      <w:iCs/>
      <w:spacing w:val="4"/>
      <w:u w:val="none"/>
    </w:rPr>
  </w:style>
  <w:style w:type="character" w:styleId="Pagenumber">
    <w:name w:val="page number"/>
    <w:basedOn w:val="DefaultParagraphFont"/>
    <w:qFormat/>
    <w:rPr/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FontStyle18">
    <w:name w:val="Font Style18"/>
    <w:qFormat/>
    <w:rPr>
      <w:rFonts w:ascii="Times New Roman" w:hAnsi="Times New Roman" w:cs="Times New Roman"/>
      <w:sz w:val="26"/>
      <w:szCs w:val="26"/>
    </w:rPr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FontStyle21">
    <w:name w:val="Font Style21"/>
    <w:qFormat/>
    <w:rPr>
      <w:rFonts w:ascii="Times New Roman" w:hAnsi="Times New Roman" w:cs="Times New Roman"/>
      <w:sz w:val="26"/>
      <w:szCs w:val="26"/>
    </w:rPr>
  </w:style>
  <w:style w:type="character" w:styleId="Csd2c743de">
    <w:name w:val="csd2c743de"/>
    <w:basedOn w:val="DefaultParagraphFont"/>
    <w:qFormat/>
    <w:rPr/>
  </w:style>
  <w:style w:type="character" w:styleId="Style17">
    <w:name w:val="Верхний колонтитул Знак"/>
    <w:basedOn w:val="DefaultParagraphFont"/>
    <w:qFormat/>
    <w:rPr>
      <w:sz w:val="22"/>
      <w:szCs w:val="22"/>
      <w:lang w:val="uk-UA"/>
    </w:rPr>
  </w:style>
  <w:style w:type="character" w:styleId="Style18">
    <w:name w:val="Нижний колонтитул Знак"/>
    <w:basedOn w:val="DefaultParagraphFont"/>
    <w:qFormat/>
    <w:rPr>
      <w:sz w:val="22"/>
      <w:szCs w:val="22"/>
      <w:lang w:val="uk-UA"/>
    </w:rPr>
  </w:style>
  <w:style w:type="character" w:styleId="Hyperlink">
    <w:name w:val="Hyperlink"/>
    <w:qFormat/>
    <w:rPr>
      <w:color w:val="000080"/>
      <w:u w:val="single"/>
      <w:lang w:val="zxx" w:bidi="zxx"/>
    </w:rPr>
  </w:style>
  <w:style w:type="character" w:styleId="WW8Num1z1">
    <w:name w:val="WW8Num1z1"/>
    <w:qFormat/>
    <w:rPr/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40"/>
      <w:ind w:hanging="0" w:left="0" w:right="0"/>
      <w:jc w:val="center"/>
    </w:pPr>
    <w:rPr>
      <w:rFonts w:ascii="Times New Roman" w:hAnsi="Times New Roman" w:eastAsia="Times New Roman"/>
      <w:sz w:val="28"/>
      <w:szCs w:val="20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Lucida Sans"/>
    </w:rPr>
  </w:style>
  <w:style w:type="paragraph" w:styleId="Style21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ListParagraph">
    <w:name w:val="List Paragraph"/>
    <w:basedOn w:val="Normal"/>
    <w:qFormat/>
    <w:pPr>
      <w:spacing w:before="0" w:after="0"/>
      <w:ind w:firstLine="4536" w:left="720" w:right="0"/>
      <w:contextualSpacing/>
    </w:pPr>
    <w:rPr/>
  </w:style>
  <w:style w:type="paragraph" w:styleId="BodyTextIndent">
    <w:name w:val="Body Text Indent"/>
    <w:basedOn w:val="Normal"/>
    <w:pPr>
      <w:spacing w:before="0" w:after="120"/>
      <w:ind w:firstLine="4536" w:left="283" w:right="0"/>
    </w:pPr>
    <w:rPr/>
  </w:style>
  <w:style w:type="paragraph" w:styleId="BalloonText">
    <w:name w:val="Balloon Text"/>
    <w:basedOn w:val="Normal"/>
    <w:qFormat/>
    <w:pPr>
      <w:spacing w:lineRule="auto" w:line="240"/>
    </w:pPr>
    <w:rPr>
      <w:rFonts w:ascii="Tahoma" w:hAnsi="Tahoma" w:cs="Tahoma"/>
      <w:sz w:val="16"/>
      <w:szCs w:val="16"/>
    </w:rPr>
  </w:style>
  <w:style w:type="paragraph" w:styleId="Style22">
    <w:name w:val="Вміст таблиці"/>
    <w:basedOn w:val="Normal"/>
    <w:qFormat/>
    <w:pPr>
      <w:widowControl w:val="false"/>
      <w:suppressLineNumbers/>
      <w:spacing w:lineRule="auto" w:line="240"/>
      <w:ind w:hanging="0" w:left="0" w:right="0"/>
      <w:jc w:val="left"/>
    </w:pPr>
    <w:rPr>
      <w:rFonts w:ascii="Times New Roman" w:hAnsi="Times New Roman" w:cs="Arial Unicode MS"/>
      <w:kern w:val="2"/>
      <w:sz w:val="24"/>
      <w:szCs w:val="24"/>
      <w:lang w:eastAsia="hi-IN" w:bidi="hi-IN"/>
    </w:rPr>
  </w:style>
  <w:style w:type="paragraph" w:styleId="Rvps12">
    <w:name w:val="rvps12"/>
    <w:basedOn w:val="Normal"/>
    <w:qFormat/>
    <w:pPr>
      <w:spacing w:lineRule="auto" w:line="240" w:before="280" w:after="280"/>
      <w:ind w:hanging="0" w:left="0" w:right="0"/>
      <w:jc w:val="left"/>
    </w:pPr>
    <w:rPr>
      <w:rFonts w:ascii="Times New Roman" w:hAnsi="Times New Roman" w:eastAsia="Times New Roman"/>
      <w:sz w:val="24"/>
      <w:szCs w:val="24"/>
      <w:lang w:val="ru-RU" w:eastAsia="ru-RU"/>
    </w:rPr>
  </w:style>
  <w:style w:type="paragraph" w:styleId="BodyTextIndent3">
    <w:name w:val="Body Text Indent 3"/>
    <w:basedOn w:val="Normal"/>
    <w:qFormat/>
    <w:pPr>
      <w:spacing w:lineRule="auto" w:line="240" w:before="0" w:after="120"/>
      <w:ind w:hanging="0" w:left="283" w:right="0"/>
      <w:jc w:val="left"/>
    </w:pPr>
    <w:rPr>
      <w:rFonts w:ascii="Times New Roman" w:hAnsi="Times New Roman" w:eastAsia="Times New Roman"/>
      <w:sz w:val="16"/>
      <w:szCs w:val="16"/>
      <w:lang w:eastAsia="uk-UA"/>
    </w:rPr>
  </w:style>
  <w:style w:type="paragraph" w:styleId="BodyText2">
    <w:name w:val="Body Text 2"/>
    <w:basedOn w:val="Normal"/>
    <w:qFormat/>
    <w:pPr>
      <w:spacing w:lineRule="auto" w:line="480" w:before="0" w:after="120"/>
      <w:ind w:hanging="0" w:left="0" w:right="0"/>
      <w:jc w:val="left"/>
    </w:pPr>
    <w:rPr>
      <w:rFonts w:ascii="Times New Roman" w:hAnsi="Times New Roman" w:eastAsia="Times New Roman"/>
      <w:sz w:val="24"/>
      <w:szCs w:val="24"/>
      <w:lang w:val="ru-RU" w:eastAsia="ru-RU"/>
    </w:rPr>
  </w:style>
  <w:style w:type="paragraph" w:styleId="NormalWeb">
    <w:name w:val="Normal (Web)"/>
    <w:basedOn w:val="Normal"/>
    <w:qFormat/>
    <w:pPr>
      <w:spacing w:lineRule="auto" w:line="240" w:before="280" w:after="280"/>
      <w:ind w:hanging="0" w:left="0" w:right="0"/>
      <w:jc w:val="left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Style23">
    <w:name w:val="Нормальний текст"/>
    <w:basedOn w:val="Normal"/>
    <w:qFormat/>
    <w:pPr>
      <w:spacing w:lineRule="auto" w:line="240" w:before="120" w:after="0"/>
      <w:ind w:firstLine="567" w:left="0" w:right="0"/>
      <w:jc w:val="left"/>
    </w:pPr>
    <w:rPr>
      <w:rFonts w:ascii="Antiqua" w:hAnsi="Antiqua" w:eastAsia="Times New Roman"/>
      <w:sz w:val="26"/>
      <w:szCs w:val="20"/>
      <w:lang w:eastAsia="ru-RU"/>
    </w:rPr>
  </w:style>
  <w:style w:type="paragraph" w:styleId="NoSpacing">
    <w:name w:val="No Spacing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uk-UA" w:bidi="ar-SA"/>
    </w:rPr>
  </w:style>
  <w:style w:type="paragraph" w:styleId="Csd270a141">
    <w:name w:val="csd270a141"/>
    <w:basedOn w:val="Normal"/>
    <w:qFormat/>
    <w:pPr>
      <w:spacing w:lineRule="auto" w:line="240" w:before="280" w:after="280"/>
      <w:ind w:hanging="0" w:left="0" w:right="0"/>
      <w:jc w:val="left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Style24">
    <w:name w:val="Верхній і нижній колонтитули"/>
    <w:basedOn w:val="Normal"/>
    <w:qFormat/>
    <w:pPr/>
    <w:rPr/>
  </w:style>
  <w:style w:type="paragraph" w:styleId="Style25">
    <w:name w:val="Колонтитул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/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/>
    </w:pPr>
    <w:rPr/>
  </w:style>
  <w:style w:type="paragraph" w:styleId="Style26">
    <w:name w:val="Заголовок таблиці"/>
    <w:basedOn w:val="Style22"/>
    <w:qFormat/>
    <w:pPr>
      <w:jc w:val="center"/>
    </w:pPr>
    <w:rPr>
      <w:b/>
      <w:bCs/>
    </w:rPr>
  </w:style>
  <w:style w:type="paragraph" w:styleId="21">
    <w:name w:val="Основной текст (2)"/>
    <w:basedOn w:val="Normal"/>
    <w:qFormat/>
    <w:pPr>
      <w:widowControl w:val="false"/>
      <w:shd w:val="clear" w:fill="FFFFFF"/>
      <w:spacing w:lineRule="exact" w:line="312" w:before="240" w:after="0"/>
      <w:ind w:hanging="0" w:left="0" w:right="0"/>
    </w:pPr>
    <w:rPr>
      <w:rFonts w:ascii="Calibri" w:hAnsi="Calibri" w:eastAsia="Calibri" w:cs="Times New Roman"/>
      <w:sz w:val="26"/>
      <w:szCs w:val="26"/>
      <w:lang w:eastAsia="en-US"/>
    </w:rPr>
  </w:style>
  <w:style w:type="paragraph" w:styleId="Style27">
    <w:name w:val="Обычный (веб)"/>
    <w:basedOn w:val="Normal"/>
    <w:qFormat/>
    <w:pPr>
      <w:ind w:firstLine="4536" w:left="0" w:right="0"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7385</TotalTime>
  <Application>LibreOffice/7.6.2.1$Windows_X86_64 LibreOffice_project/56f7684011345957bbf33a7ee678afaf4d2ba333</Application>
  <AppVersion>15.0000</AppVersion>
  <Pages>7</Pages>
  <Words>1361</Words>
  <Characters>9351</Characters>
  <CharactersWithSpaces>10647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2016-06-09T12:24:00Z</dcterms:created>
  <dc:creator>kstl_lv</dc:creator>
  <dc:description/>
  <dc:language>uk-UA</dc:language>
  <cp:lastModifiedBy/>
  <cp:lastPrinted>2026-07-30T13:52:22Z</cp:lastPrinted>
  <dcterms:modified xsi:type="dcterms:W3CDTF">2026-07-30T13:52:41Z</dcterms:modified>
  <cp:revision>397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